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8D6" w:rsidRPr="006938D6" w:rsidRDefault="006938D6" w:rsidP="006938D6">
      <w:pPr>
        <w:spacing w:after="0"/>
        <w:jc w:val="center"/>
        <w:rPr>
          <w:rFonts w:ascii="Nirmala UI" w:eastAsia="Times New Roman" w:hAnsi="Nirmala UI" w:cs="Nirmala UI"/>
          <w:b/>
          <w:bCs/>
          <w:sz w:val="20"/>
          <w:szCs w:val="20"/>
          <w:lang w:bidi="bn-IN"/>
        </w:rPr>
      </w:pPr>
      <w:r w:rsidRPr="006938D6">
        <w:rPr>
          <w:rFonts w:ascii="Nirmala UI" w:eastAsia="Times New Roman" w:hAnsi="Nirmala UI" w:cs="Nirmala UI"/>
          <w:b/>
          <w:bCs/>
          <w:sz w:val="20"/>
          <w:szCs w:val="20"/>
          <w:lang w:bidi="bn-IN"/>
        </w:rPr>
        <w:t>MDA’র নাম: …………</w:t>
      </w:r>
    </w:p>
    <w:p w:rsidR="006938D6" w:rsidRPr="006938D6" w:rsidRDefault="006938D6" w:rsidP="006938D6">
      <w:pPr>
        <w:spacing w:after="0"/>
        <w:jc w:val="center"/>
        <w:rPr>
          <w:rFonts w:ascii="Nirmala UI" w:eastAsia="Times New Roman" w:hAnsi="Nirmala UI" w:cs="Nirmala UI"/>
          <w:b/>
          <w:bCs/>
          <w:sz w:val="20"/>
          <w:szCs w:val="20"/>
          <w:lang w:bidi="bn-IN"/>
        </w:rPr>
      </w:pPr>
      <w:bookmarkStart w:id="0" w:name="_Hlk129765735"/>
      <w:r w:rsidRPr="006938D6">
        <w:rPr>
          <w:rFonts w:ascii="Nirmala UI" w:eastAsia="Times New Roman" w:hAnsi="Nirmala UI" w:cs="Nirmala UI"/>
          <w:b/>
          <w:bCs/>
          <w:sz w:val="20"/>
          <w:szCs w:val="20"/>
          <w:lang w:bidi="bn-IN"/>
        </w:rPr>
        <w:t xml:space="preserve">অভ্যন্তরীণ নিরীক্ষা </w:t>
      </w:r>
      <w:bookmarkEnd w:id="0"/>
      <w:r w:rsidRPr="006938D6">
        <w:rPr>
          <w:rFonts w:ascii="Nirmala UI" w:eastAsia="Times New Roman" w:hAnsi="Nirmala UI" w:cs="Nirmala UI"/>
          <w:b/>
          <w:bCs/>
          <w:sz w:val="20"/>
          <w:szCs w:val="20"/>
          <w:lang w:bidi="bn-IN"/>
        </w:rPr>
        <w:t>ইউনিট</w:t>
      </w:r>
    </w:p>
    <w:p w:rsidR="006938D6" w:rsidRPr="006938D6" w:rsidRDefault="006938D6" w:rsidP="006938D6">
      <w:pPr>
        <w:pStyle w:val="Heading2"/>
        <w:ind w:left="0" w:firstLine="84"/>
        <w:jc w:val="center"/>
        <w:rPr>
          <w:rFonts w:ascii="Nirmala UI" w:hAnsi="Nirmala UI" w:cs="Nirmala UI"/>
          <w:sz w:val="20"/>
          <w:szCs w:val="20"/>
          <w:lang w:bidi="bn-IN"/>
        </w:rPr>
      </w:pPr>
      <w:bookmarkStart w:id="1" w:name="_Toc144989369"/>
      <w:r w:rsidRPr="006938D6">
        <w:rPr>
          <w:rFonts w:ascii="Nirmala UI" w:hAnsi="Nirmala UI" w:cs="Nirmala UI"/>
          <w:sz w:val="20"/>
          <w:szCs w:val="20"/>
          <w:lang w:bidi="bn-IN"/>
        </w:rPr>
        <w:t>ফর্ম ১১: ঝুঁকি-ভিত্তিক বার্ষিক অভ্যন্তরীণ নিরীক্ষা পরিকল্পনা (- - - - - - - সাল)</w:t>
      </w:r>
      <w:bookmarkEnd w:id="1"/>
    </w:p>
    <w:p w:rsidR="006938D6" w:rsidRPr="006938D6" w:rsidRDefault="006938D6" w:rsidP="006938D6">
      <w:pPr>
        <w:pStyle w:val="ListParagraph"/>
        <w:ind w:left="1800" w:firstLine="0"/>
        <w:jc w:val="center"/>
        <w:rPr>
          <w:rFonts w:ascii="Nirmala UI" w:hAnsi="Nirmala UI" w:cs="Nirmala UI"/>
          <w:b/>
          <w:bCs/>
          <w:sz w:val="20"/>
          <w:szCs w:val="20"/>
          <w:cs/>
          <w:lang w:bidi="bn-IN"/>
        </w:rPr>
      </w:pPr>
    </w:p>
    <w:p w:rsidR="006938D6" w:rsidRPr="006938D6" w:rsidRDefault="006938D6" w:rsidP="006938D6">
      <w:pPr>
        <w:widowControl w:val="0"/>
        <w:autoSpaceDE w:val="0"/>
        <w:autoSpaceDN w:val="0"/>
        <w:spacing w:before="7" w:after="0" w:line="240" w:lineRule="auto"/>
        <w:rPr>
          <w:rFonts w:ascii="Nirmala UI" w:eastAsia="Times New Roman" w:hAnsi="Nirmala UI" w:cs="Nirmala UI"/>
          <w:b/>
          <w:sz w:val="20"/>
          <w:szCs w:val="20"/>
        </w:rPr>
      </w:pPr>
    </w:p>
    <w:p w:rsidR="006938D6" w:rsidRPr="006938D6" w:rsidRDefault="006938D6" w:rsidP="006938D6">
      <w:pPr>
        <w:widowControl w:val="0"/>
        <w:shd w:val="clear" w:color="auto" w:fill="FFFFFF" w:themeFill="background1"/>
        <w:tabs>
          <w:tab w:val="left" w:pos="1256"/>
        </w:tabs>
        <w:autoSpaceDE w:val="0"/>
        <w:autoSpaceDN w:val="0"/>
        <w:spacing w:after="0" w:line="240" w:lineRule="auto"/>
        <w:rPr>
          <w:rFonts w:ascii="Nirmala UI" w:eastAsia="Times New Roman" w:hAnsi="Nirmala UI" w:cs="Nirmala UI"/>
          <w:bCs/>
          <w:sz w:val="20"/>
          <w:szCs w:val="20"/>
        </w:rPr>
      </w:pPr>
      <w:r w:rsidRPr="006938D6">
        <w:rPr>
          <w:rFonts w:ascii="Nirmala UI" w:eastAsia="Times New Roman" w:hAnsi="Nirmala UI" w:cs="Nirmala UI"/>
          <w:b/>
          <w:sz w:val="20"/>
          <w:szCs w:val="20"/>
          <w:cs/>
          <w:lang w:bidi="bn-IN"/>
        </w:rPr>
        <w:tab/>
        <w:t>১.১</w:t>
      </w:r>
      <w:r w:rsidRPr="006938D6">
        <w:rPr>
          <w:rFonts w:ascii="Nirmala UI" w:eastAsia="Times New Roman" w:hAnsi="Nirmala UI" w:cs="Nirmala UI"/>
          <w:bCs/>
          <w:sz w:val="20"/>
          <w:szCs w:val="20"/>
          <w:cs/>
          <w:lang w:bidi="bn-IN"/>
        </w:rPr>
        <w:tab/>
      </w:r>
      <w:r w:rsidRPr="006938D6">
        <w:rPr>
          <w:rFonts w:ascii="Nirmala UI" w:eastAsia="Times New Roman" w:hAnsi="Nirmala UI" w:cs="Nirmala UI"/>
          <w:b/>
          <w:sz w:val="20"/>
          <w:szCs w:val="20"/>
        </w:rPr>
        <w:t>বার্ষিক অভ্যন্তরীণ নিরীক্ষা পরিকল্পনার উদ্দেশ্য</w:t>
      </w:r>
    </w:p>
    <w:p w:rsidR="006938D6" w:rsidRP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অভ্যন্তরীণ নিরীক্ষা ইউনিটের নিরীক্ষা কার্যক্রমে দিকনির্দেশনা প্রদানের জন্য অভ্যন্তরীণ নিরীক্ষা পরিকল্পনা প্রণয়ন করা হয়েছে। অভ্যন্তরীণ নিরীক্ষা পরিকল্পনাটি সংশ্লিষ্ট PAO অনুমোদন করবেন, যা অভ্যন্তরীণ নিরীক্ষা সনদে উল্লিখিত অভ্যন্তরীণ নিরীক্ষা ইউনিটের উদ্দেশ্য, কর্তৃত্ব এবং দায়িত্বকে আরও বেগবান করবে । </w:t>
      </w:r>
    </w:p>
    <w:p w:rsidR="006938D6" w:rsidRPr="006938D6" w:rsidRDefault="006938D6" w:rsidP="006938D6">
      <w:pPr>
        <w:widowControl w:val="0"/>
        <w:autoSpaceDE w:val="0"/>
        <w:autoSpaceDN w:val="0"/>
        <w:spacing w:before="6" w:after="0" w:line="240" w:lineRule="auto"/>
        <w:rPr>
          <w:rFonts w:ascii="Nirmala UI" w:eastAsia="Times New Roman" w:hAnsi="Nirmala UI" w:cs="Nirmala UI"/>
          <w:sz w:val="20"/>
          <w:szCs w:val="20"/>
        </w:rPr>
      </w:pPr>
    </w:p>
    <w:p w:rsidR="006938D6" w:rsidRPr="006938D6" w:rsidRDefault="006938D6" w:rsidP="006938D6">
      <w:pPr>
        <w:widowControl w:val="0"/>
        <w:shd w:val="clear" w:color="auto" w:fill="FFFFFF" w:themeFill="background1"/>
        <w:tabs>
          <w:tab w:val="left" w:pos="1256"/>
        </w:tabs>
        <w:autoSpaceDE w:val="0"/>
        <w:autoSpaceDN w:val="0"/>
        <w:spacing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cs/>
          <w:lang w:bidi="bn-IN"/>
        </w:rPr>
        <w:tab/>
        <w:t>১.২</w:t>
      </w:r>
      <w:r w:rsidRPr="006938D6">
        <w:rPr>
          <w:rFonts w:ascii="Nirmala UI" w:eastAsia="Times New Roman" w:hAnsi="Nirmala UI" w:cs="Nirmala UI"/>
          <w:b/>
          <w:sz w:val="20"/>
          <w:szCs w:val="20"/>
          <w:cs/>
          <w:lang w:bidi="bn-IN"/>
        </w:rPr>
        <w:tab/>
      </w:r>
      <w:r w:rsidRPr="006938D6">
        <w:rPr>
          <w:rFonts w:ascii="Nirmala UI" w:eastAsia="Times New Roman" w:hAnsi="Nirmala UI" w:cs="Nirmala UI"/>
          <w:b/>
          <w:sz w:val="20"/>
          <w:szCs w:val="20"/>
        </w:rPr>
        <w:t>ঝুঁকি মূল্যায়ন এবং বার্ষিক অভ্যন্তরীণ নিরীক্ষা পরিকল্পনা প্রণয়ন</w:t>
      </w:r>
    </w:p>
    <w:p w:rsidR="006938D6" w:rsidRPr="006938D6" w:rsidRDefault="006938D6" w:rsidP="006938D6">
      <w:pPr>
        <w:widowControl w:val="0"/>
        <w:shd w:val="clear" w:color="auto" w:fill="FFFFFF" w:themeFill="background1"/>
        <w:tabs>
          <w:tab w:val="left" w:pos="1256"/>
        </w:tabs>
        <w:autoSpaceDE w:val="0"/>
        <w:autoSpaceDN w:val="0"/>
        <w:spacing w:after="0" w:line="240" w:lineRule="auto"/>
        <w:rPr>
          <w:rFonts w:ascii="Nirmala UI" w:eastAsia="Times New Roman" w:hAnsi="Nirmala UI" w:cs="Nirmala UI"/>
          <w:b/>
          <w:sz w:val="20"/>
          <w:szCs w:val="20"/>
        </w:rPr>
      </w:pPr>
    </w:p>
    <w:p w:rsidR="006938D6" w:rsidRP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বার্ষিক অভ্যন্তরীণ নিরীক্ষা পরিকল্পনা প্রণয়নকালে MDA’র অধীনস্ত নিরীক্ষাযোগ্য বিভিন্ন প্রকল্প ও সংশ্লিষ্ট কার্যালয়সমূহের ঝুঁকি মূল্যায়ন করতে অভ্যন্তরীণ নিরীক্ষা ম্যানুয়ালটি অনুসরণ করা হয়েছে। অভ্যন্তরীণ নিরীক্ষা ম্যানুয়ালে বর্ণিত ফর্মসমূহ ব্যবহার করে সকল পদ্ধতি নথিভুক্ত করা হয়েছ । ঝুঁকি মূল্যায়নে MDA প্রধান, প্রকল্প এবং অপারেশনাল ম্যানেজার, সংশ্লিষ্ট কর্মকর্তা, অন্যান্য স্টেকহোল্ডার ও সুবিধাভোগীদের নিকট হতে গৃহীত তথ্য এবং নিরীক্ষাযোগ্য ক্ষেত্রগুলির ঝুঁকি বিবেচনায় নিয়ে অভ্যন্তরীণ নিরীক্ষা ইউনিট কর্তৃক আরও পরিমার্জিত করে ব্যবহার করা হয়েছে । </w:t>
      </w:r>
    </w:p>
    <w:p w:rsidR="006938D6" w:rsidRPr="006938D6" w:rsidRDefault="006938D6" w:rsidP="006938D6">
      <w:pPr>
        <w:widowControl w:val="0"/>
        <w:autoSpaceDE w:val="0"/>
        <w:autoSpaceDN w:val="0"/>
        <w:spacing w:before="6" w:after="0" w:line="240" w:lineRule="auto"/>
        <w:ind w:right="620"/>
        <w:rPr>
          <w:rFonts w:ascii="Nirmala UI" w:eastAsia="Times New Roman" w:hAnsi="Nirmala UI" w:cs="Nirmala UI"/>
          <w:sz w:val="20"/>
          <w:szCs w:val="20"/>
        </w:rPr>
      </w:pPr>
    </w:p>
    <w:p w:rsidR="006938D6" w:rsidRPr="006938D6" w:rsidRDefault="006938D6" w:rsidP="006938D6">
      <w:pPr>
        <w:widowControl w:val="0"/>
        <w:shd w:val="clear" w:color="auto" w:fill="FFFFFF" w:themeFill="background1"/>
        <w:tabs>
          <w:tab w:val="left" w:pos="1256"/>
        </w:tabs>
        <w:autoSpaceDE w:val="0"/>
        <w:autoSpaceDN w:val="0"/>
        <w:spacing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cs/>
          <w:lang w:bidi="bn-IN"/>
        </w:rPr>
        <w:tab/>
        <w:t>১.৩</w:t>
      </w:r>
      <w:r w:rsidRPr="006938D6">
        <w:rPr>
          <w:rFonts w:ascii="Nirmala UI" w:eastAsia="Times New Roman" w:hAnsi="Nirmala UI" w:cs="Nirmala UI"/>
          <w:b/>
          <w:sz w:val="20"/>
          <w:szCs w:val="20"/>
          <w:cs/>
          <w:lang w:bidi="bn-IN"/>
        </w:rPr>
        <w:tab/>
      </w:r>
      <w:r w:rsidRPr="006938D6">
        <w:rPr>
          <w:rFonts w:ascii="Nirmala UI" w:eastAsia="Times New Roman" w:hAnsi="Nirmala UI" w:cs="Nirmala UI"/>
          <w:b/>
          <w:sz w:val="20"/>
          <w:szCs w:val="20"/>
        </w:rPr>
        <w:t>পরিকল্পনার সারমর্ম</w:t>
      </w:r>
    </w:p>
    <w:p w:rsidR="006938D6" w:rsidRPr="006938D6" w:rsidRDefault="006938D6" w:rsidP="006938D6">
      <w:pPr>
        <w:widowControl w:val="0"/>
        <w:shd w:val="clear" w:color="auto" w:fill="FFFFFF" w:themeFill="background1"/>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ঝুঁকি মূল্যায়ন প্রক্রিয়ার মাধ্যমে সম্ভাব্য ……টি নিরীক্ষার বিষয় চিহ্নিত হয়েছে । মানব সম্পদ প্রাপ্যতার উপর ভিত্তি করে নিরীক্ষা দলের জন্য ২০…সালে…কার্যদিবস নিরীক্ষার জন্য প্রস্তাব করা হয়েছে যার মধ্যে MDA’র অধীনে প্রকল্পসমূহ  নিরীক্ষার জন্য ……দিন, এবং MDA’র কার্যালয়গুলির কর্মকাণ্ড নিরীক্ষার জন্য ……দিন । ঝুঁকি মূল্যায়ন প্রক্রিয়ার মাধ্যমে চিহ্নিত আর্থিক ব্যবস্থাপনা নিরীক্ষার জন্য ……দিন, ক্রয় ও চুক্তি ব্যবস্থাপনা নিরীক্ষার জন্য ……দিন,  প্রকল্প এবং অপারেশনাল ম্যানেজমেন্ট নিরীক্ষার জন্য ……দিন নির্ধারণ করা হয়েছে । </w:t>
      </w:r>
    </w:p>
    <w:p w:rsidR="006938D6" w:rsidRPr="006938D6" w:rsidRDefault="006938D6" w:rsidP="006938D6">
      <w:pPr>
        <w:widowControl w:val="0"/>
        <w:tabs>
          <w:tab w:val="left" w:pos="1256"/>
        </w:tabs>
        <w:autoSpaceDE w:val="0"/>
        <w:autoSpaceDN w:val="0"/>
        <w:spacing w:before="94"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rPr>
        <w:tab/>
      </w:r>
      <w:r w:rsidRPr="006938D6">
        <w:rPr>
          <w:rFonts w:ascii="Nirmala UI" w:eastAsia="Times New Roman" w:hAnsi="Nirmala UI" w:cs="Nirmala UI"/>
          <w:bCs/>
          <w:sz w:val="20"/>
          <w:szCs w:val="20"/>
        </w:rPr>
        <w:t>২.</w:t>
      </w:r>
      <w:r w:rsidRPr="006938D6">
        <w:rPr>
          <w:rFonts w:ascii="Nirmala UI" w:eastAsia="Times New Roman" w:hAnsi="Nirmala UI" w:cs="Nirmala UI"/>
          <w:bCs/>
          <w:sz w:val="20"/>
          <w:szCs w:val="20"/>
        </w:rPr>
        <w:tab/>
      </w:r>
      <w:r w:rsidRPr="006938D6">
        <w:rPr>
          <w:rFonts w:ascii="Nirmala UI" w:eastAsia="Times New Roman" w:hAnsi="Nirmala UI" w:cs="Nirmala UI"/>
          <w:b/>
          <w:sz w:val="20"/>
          <w:szCs w:val="20"/>
          <w:cs/>
        </w:rPr>
        <w:tab/>
      </w:r>
      <w:r w:rsidRPr="006938D6">
        <w:rPr>
          <w:rFonts w:ascii="Nirmala UI" w:eastAsia="Times New Roman" w:hAnsi="Nirmala UI" w:cs="Nirmala UI"/>
          <w:b/>
          <w:sz w:val="20"/>
          <w:szCs w:val="20"/>
        </w:rPr>
        <w:t>ক্লায়েন্ট প্রোফাইল</w:t>
      </w:r>
    </w:p>
    <w:p w:rsidR="006938D6" w:rsidRPr="006938D6" w:rsidRDefault="006938D6" w:rsidP="006938D6">
      <w:pPr>
        <w:widowControl w:val="0"/>
        <w:tabs>
          <w:tab w:val="left" w:pos="1237"/>
        </w:tabs>
        <w:autoSpaceDE w:val="0"/>
        <w:autoSpaceDN w:val="0"/>
        <w:spacing w:before="94" w:after="0" w:line="240" w:lineRule="auto"/>
        <w:rPr>
          <w:rFonts w:ascii="Nirmala UI" w:eastAsia="Times New Roman" w:hAnsi="Nirmala UI" w:cs="Nirmala UI"/>
          <w:bCs/>
          <w:sz w:val="20"/>
          <w:szCs w:val="20"/>
        </w:rPr>
      </w:pPr>
      <w:r w:rsidRPr="006938D6">
        <w:rPr>
          <w:rFonts w:ascii="Nirmala UI" w:eastAsia="Times New Roman" w:hAnsi="Nirmala UI" w:cs="Nirmala UI"/>
          <w:b/>
          <w:sz w:val="20"/>
          <w:szCs w:val="20"/>
          <w:cs/>
          <w:lang w:bidi="bn-IN"/>
        </w:rPr>
        <w:tab/>
        <w:t>২.১</w:t>
      </w:r>
      <w:r w:rsidRPr="006938D6">
        <w:rPr>
          <w:rFonts w:ascii="Nirmala UI" w:eastAsia="Times New Roman" w:hAnsi="Nirmala UI" w:cs="Nirmala UI"/>
          <w:bCs/>
          <w:sz w:val="20"/>
          <w:szCs w:val="20"/>
          <w:cs/>
          <w:lang w:bidi="bn-IN"/>
        </w:rPr>
        <w:tab/>
      </w:r>
      <w:r w:rsidRPr="006938D6">
        <w:rPr>
          <w:rFonts w:ascii="Nirmala UI" w:eastAsia="Times New Roman" w:hAnsi="Nirmala UI" w:cs="Nirmala UI"/>
          <w:bCs/>
          <w:sz w:val="20"/>
          <w:szCs w:val="20"/>
        </w:rPr>
        <w:t>ওভারভিউ</w:t>
      </w:r>
    </w:p>
    <w:p w:rsidR="006938D6" w:rsidRPr="006938D6" w:rsidRDefault="006938D6" w:rsidP="006938D6">
      <w:pPr>
        <w:widowControl w:val="0"/>
        <w:autoSpaceDE w:val="0"/>
        <w:autoSpaceDN w:val="0"/>
        <w:spacing w:before="121" w:after="0" w:line="240" w:lineRule="auto"/>
        <w:ind w:left="811"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                        ……………………………………………………………………………………………………………………………………………………………………</w:t>
      </w:r>
    </w:p>
    <w:p w:rsidR="006938D6" w:rsidRPr="006938D6" w:rsidRDefault="006938D6" w:rsidP="006938D6">
      <w:pPr>
        <w:widowControl w:val="0"/>
        <w:tabs>
          <w:tab w:val="left" w:pos="1237"/>
        </w:tabs>
        <w:autoSpaceDE w:val="0"/>
        <w:autoSpaceDN w:val="0"/>
        <w:spacing w:before="94" w:after="0" w:line="240" w:lineRule="auto"/>
        <w:ind w:left="1237"/>
        <w:rPr>
          <w:rFonts w:ascii="Nirmala UI" w:eastAsia="Times New Roman" w:hAnsi="Nirmala UI" w:cs="Nirmala UI"/>
          <w:bCs/>
          <w:sz w:val="20"/>
          <w:szCs w:val="20"/>
        </w:rPr>
      </w:pPr>
      <w:r w:rsidRPr="006938D6">
        <w:rPr>
          <w:rFonts w:ascii="Nirmala UI" w:eastAsia="Times New Roman" w:hAnsi="Nirmala UI" w:cs="Nirmala UI"/>
          <w:bCs/>
          <w:sz w:val="20"/>
          <w:szCs w:val="20"/>
        </w:rPr>
        <w:t xml:space="preserve">  </w:t>
      </w:r>
      <w:r w:rsidRPr="006938D6">
        <w:rPr>
          <w:rFonts w:ascii="Nirmala UI" w:eastAsia="Times New Roman" w:hAnsi="Nirmala UI" w:cs="Nirmala UI"/>
          <w:bCs/>
          <w:sz w:val="20"/>
          <w:szCs w:val="20"/>
          <w:cs/>
          <w:lang w:bidi="bn-IN"/>
        </w:rPr>
        <w:t>২.২</w:t>
      </w:r>
      <w:r w:rsidRPr="006938D6">
        <w:rPr>
          <w:rFonts w:ascii="Nirmala UI" w:eastAsia="Times New Roman" w:hAnsi="Nirmala UI" w:cs="Nirmala UI"/>
          <w:bCs/>
          <w:sz w:val="20"/>
          <w:szCs w:val="20"/>
          <w:cs/>
          <w:lang w:bidi="bn-IN"/>
        </w:rPr>
        <w:tab/>
      </w:r>
      <w:r w:rsidRPr="006938D6">
        <w:rPr>
          <w:rFonts w:ascii="Nirmala UI" w:eastAsia="Times New Roman" w:hAnsi="Nirmala UI" w:cs="Nirmala UI"/>
          <w:bCs/>
          <w:sz w:val="20"/>
          <w:szCs w:val="20"/>
        </w:rPr>
        <w:t>উদ্দেশ্য</w:t>
      </w:r>
    </w:p>
    <w:p w:rsidR="006938D6" w:rsidRPr="006938D6" w:rsidRDefault="006938D6" w:rsidP="006938D6">
      <w:pPr>
        <w:widowControl w:val="0"/>
        <w:tabs>
          <w:tab w:val="left" w:pos="1242"/>
        </w:tabs>
        <w:autoSpaceDE w:val="0"/>
        <w:autoSpaceDN w:val="0"/>
        <w:spacing w:before="94" w:after="0" w:line="240" w:lineRule="auto"/>
        <w:ind w:left="720" w:right="530"/>
        <w:rPr>
          <w:rFonts w:ascii="Nirmala UI" w:eastAsia="Times New Roman" w:hAnsi="Nirmala UI" w:cs="Nirmala UI"/>
          <w:sz w:val="20"/>
          <w:szCs w:val="20"/>
        </w:rPr>
      </w:pPr>
      <w:r w:rsidRPr="006938D6">
        <w:rPr>
          <w:rFonts w:ascii="Nirmala UI" w:eastAsia="Times New Roman" w:hAnsi="Nirmala UI" w:cs="Nirmala UI"/>
          <w:sz w:val="20"/>
          <w:szCs w:val="20"/>
        </w:rPr>
        <w:t xml:space="preserve">                                                …………………………………………………………………………………………………………………………………………………………………  </w:t>
      </w:r>
    </w:p>
    <w:p w:rsidR="006938D6" w:rsidRPr="006938D6" w:rsidRDefault="006938D6" w:rsidP="006938D6">
      <w:pPr>
        <w:widowControl w:val="0"/>
        <w:tabs>
          <w:tab w:val="left" w:pos="1242"/>
        </w:tabs>
        <w:autoSpaceDE w:val="0"/>
        <w:autoSpaceDN w:val="0"/>
        <w:spacing w:before="94" w:after="0" w:line="240" w:lineRule="auto"/>
        <w:ind w:right="530"/>
        <w:rPr>
          <w:rFonts w:ascii="Nirmala UI" w:eastAsia="Times New Roman" w:hAnsi="Nirmala UI" w:cs="Nirmala UI"/>
          <w:sz w:val="20"/>
          <w:szCs w:val="20"/>
        </w:rPr>
        <w:sectPr w:rsidR="006938D6" w:rsidRPr="006938D6" w:rsidSect="006938D6">
          <w:footerReference w:type="default" r:id="rId4"/>
          <w:pgSz w:w="16840" w:h="11910" w:orient="landscape"/>
          <w:pgMar w:top="1440" w:right="1440" w:bottom="1440" w:left="1440" w:header="720" w:footer="720" w:gutter="0"/>
          <w:cols w:space="720"/>
          <w:docGrid w:linePitch="299"/>
        </w:sectPr>
      </w:pPr>
    </w:p>
    <w:p w:rsidR="006938D6" w:rsidRPr="006938D6" w:rsidRDefault="006938D6" w:rsidP="006938D6">
      <w:pPr>
        <w:widowControl w:val="0"/>
        <w:tabs>
          <w:tab w:val="left" w:pos="1237"/>
        </w:tabs>
        <w:autoSpaceDE w:val="0"/>
        <w:autoSpaceDN w:val="0"/>
        <w:spacing w:before="94"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cs/>
          <w:lang w:bidi="bn-IN"/>
        </w:rPr>
        <w:lastRenderedPageBreak/>
        <w:tab/>
        <w:t>২.৩</w:t>
      </w:r>
      <w:r w:rsidRPr="006938D6">
        <w:rPr>
          <w:rFonts w:ascii="Nirmala UI" w:eastAsia="Times New Roman" w:hAnsi="Nirmala UI" w:cs="Nirmala UI"/>
          <w:b/>
          <w:sz w:val="20"/>
          <w:szCs w:val="20"/>
          <w:cs/>
          <w:lang w:bidi="bn-IN"/>
        </w:rPr>
        <w:tab/>
      </w:r>
      <w:bookmarkStart w:id="2" w:name="_Hlk127792344"/>
      <w:r w:rsidRPr="006938D6">
        <w:rPr>
          <w:rFonts w:ascii="Nirmala UI" w:eastAsia="Times New Roman" w:hAnsi="Nirmala UI" w:cs="Nirmala UI"/>
          <w:b/>
          <w:sz w:val="20"/>
          <w:szCs w:val="20"/>
        </w:rPr>
        <w:t xml:space="preserve">MDA’র </w:t>
      </w:r>
      <w:bookmarkEnd w:id="2"/>
      <w:r w:rsidRPr="006938D6">
        <w:rPr>
          <w:rFonts w:ascii="Nirmala UI" w:eastAsia="Times New Roman" w:hAnsi="Nirmala UI" w:cs="Nirmala UI"/>
          <w:b/>
          <w:sz w:val="20"/>
          <w:szCs w:val="20"/>
        </w:rPr>
        <w:t>বার্ষিক কাজের পরিকল্পনা এবং বাজেট বছরের বাজেট …..</w:t>
      </w:r>
    </w:p>
    <w:p w:rsidR="006938D6" w:rsidRPr="006938D6" w:rsidRDefault="006938D6" w:rsidP="006938D6">
      <w:pPr>
        <w:widowControl w:val="0"/>
        <w:autoSpaceDE w:val="0"/>
        <w:autoSpaceDN w:val="0"/>
        <w:spacing w:before="124"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নিম্নলিখিত সারণী প্রকল্প এবং কর্মক্ষম এলাকার জন্য বরাদ্দকৃত বাজেটের সংক্ষিপ্ত তথ্য প্রদান করে:</w:t>
      </w:r>
    </w:p>
    <w:p w:rsidR="006938D6" w:rsidRPr="006938D6" w:rsidRDefault="006938D6" w:rsidP="006938D6">
      <w:pPr>
        <w:widowControl w:val="0"/>
        <w:autoSpaceDE w:val="0"/>
        <w:autoSpaceDN w:val="0"/>
        <w:spacing w:before="9" w:after="0" w:line="240" w:lineRule="auto"/>
        <w:rPr>
          <w:rFonts w:ascii="Nirmala UI" w:eastAsia="Times New Roman" w:hAnsi="Nirmala UI" w:cs="Nirmala UI"/>
          <w:b/>
          <w:sz w:val="20"/>
          <w:szCs w:val="20"/>
        </w:rPr>
      </w:pPr>
    </w:p>
    <w:tbl>
      <w:tblPr>
        <w:tblW w:w="4795" w:type="pc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8"/>
        <w:gridCol w:w="6922"/>
        <w:gridCol w:w="1397"/>
      </w:tblGrid>
      <w:tr w:rsidR="006938D6" w:rsidRPr="006938D6" w:rsidTr="001A612A">
        <w:trPr>
          <w:trHeight w:val="431"/>
        </w:trPr>
        <w:tc>
          <w:tcPr>
            <w:tcW w:w="307" w:type="pct"/>
            <w:shd w:val="clear" w:color="auto" w:fill="F2F2F2" w:themeFill="background1" w:themeFillShade="F2"/>
          </w:tcPr>
          <w:p w:rsidR="006938D6" w:rsidRPr="006938D6" w:rsidRDefault="006938D6" w:rsidP="001A612A">
            <w:pPr>
              <w:widowControl w:val="0"/>
              <w:autoSpaceDE w:val="0"/>
              <w:autoSpaceDN w:val="0"/>
              <w:spacing w:after="0" w:line="240" w:lineRule="auto"/>
              <w:ind w:left="206" w:right="198"/>
              <w:jc w:val="center"/>
              <w:rPr>
                <w:rFonts w:ascii="Nirmala UI" w:eastAsia="Arial MT" w:hAnsi="Nirmala UI" w:cs="Nirmala UI"/>
                <w:b/>
                <w:sz w:val="20"/>
                <w:szCs w:val="20"/>
              </w:rPr>
            </w:pPr>
            <w:r w:rsidRPr="006938D6">
              <w:rPr>
                <w:rFonts w:ascii="Nirmala UI" w:eastAsia="Arial MT" w:hAnsi="Nirmala UI" w:cs="Nirmala UI"/>
                <w:b/>
                <w:sz w:val="20"/>
                <w:szCs w:val="20"/>
              </w:rPr>
              <w:t>নং</w:t>
            </w:r>
          </w:p>
        </w:tc>
        <w:tc>
          <w:tcPr>
            <w:tcW w:w="2739" w:type="pct"/>
            <w:shd w:val="clear" w:color="auto" w:fill="F2F2F2" w:themeFill="background1" w:themeFillShade="F2"/>
          </w:tcPr>
          <w:p w:rsidR="006938D6" w:rsidRPr="006938D6" w:rsidRDefault="006938D6" w:rsidP="001A612A">
            <w:pPr>
              <w:widowControl w:val="0"/>
              <w:autoSpaceDE w:val="0"/>
              <w:autoSpaceDN w:val="0"/>
              <w:spacing w:after="0" w:line="240" w:lineRule="auto"/>
              <w:ind w:left="2819" w:right="2812"/>
              <w:jc w:val="center"/>
              <w:rPr>
                <w:rFonts w:ascii="Nirmala UI" w:eastAsia="Arial MT" w:hAnsi="Nirmala UI" w:cs="Nirmala UI"/>
                <w:b/>
                <w:sz w:val="20"/>
                <w:szCs w:val="20"/>
              </w:rPr>
            </w:pPr>
            <w:r w:rsidRPr="006938D6">
              <w:rPr>
                <w:rFonts w:ascii="Nirmala UI" w:eastAsia="Arial MT" w:hAnsi="Nirmala UI" w:cs="Nirmala UI"/>
                <w:b/>
                <w:sz w:val="20"/>
                <w:szCs w:val="20"/>
              </w:rPr>
              <w:t>অফিস/প্রকল্প</w:t>
            </w:r>
          </w:p>
        </w:tc>
        <w:tc>
          <w:tcPr>
            <w:tcW w:w="1954" w:type="pct"/>
            <w:shd w:val="clear" w:color="auto" w:fill="F2F2F2" w:themeFill="background1" w:themeFillShade="F2"/>
          </w:tcPr>
          <w:p w:rsidR="006938D6" w:rsidRPr="006938D6" w:rsidRDefault="006938D6" w:rsidP="001A612A">
            <w:pPr>
              <w:widowControl w:val="0"/>
              <w:autoSpaceDE w:val="0"/>
              <w:autoSpaceDN w:val="0"/>
              <w:spacing w:after="0" w:line="240" w:lineRule="auto"/>
              <w:ind w:left="188"/>
              <w:jc w:val="center"/>
              <w:rPr>
                <w:rFonts w:ascii="Nirmala UI" w:eastAsia="Arial MT" w:hAnsi="Nirmala UI" w:cs="Nirmala UI"/>
                <w:b/>
                <w:sz w:val="20"/>
                <w:szCs w:val="20"/>
              </w:rPr>
            </w:pPr>
            <w:r w:rsidRPr="006938D6">
              <w:rPr>
                <w:rFonts w:ascii="Nirmala UI" w:eastAsia="Arial MT" w:hAnsi="Nirmala UI" w:cs="Nirmala UI"/>
                <w:b/>
                <w:sz w:val="20"/>
                <w:szCs w:val="20"/>
              </w:rPr>
              <w:t>আনুমানিক বাজেট</w:t>
            </w:r>
          </w:p>
        </w:tc>
      </w:tr>
      <w:tr w:rsidR="006938D6" w:rsidRPr="006938D6" w:rsidTr="001A612A">
        <w:trPr>
          <w:trHeight w:val="352"/>
        </w:trPr>
        <w:tc>
          <w:tcPr>
            <w:tcW w:w="307" w:type="pct"/>
          </w:tcPr>
          <w:p w:rsidR="006938D6" w:rsidRPr="006938D6" w:rsidRDefault="006938D6" w:rsidP="001A612A">
            <w:pPr>
              <w:widowControl w:val="0"/>
              <w:autoSpaceDE w:val="0"/>
              <w:autoSpaceDN w:val="0"/>
              <w:spacing w:after="0" w:line="240" w:lineRule="auto"/>
              <w:ind w:left="5"/>
              <w:jc w:val="center"/>
              <w:rPr>
                <w:rFonts w:ascii="Nirmala UI" w:eastAsia="Arial MT" w:hAnsi="Nirmala UI" w:cs="Nirmala UI"/>
                <w:sz w:val="20"/>
                <w:szCs w:val="20"/>
              </w:rPr>
            </w:pPr>
            <w:r w:rsidRPr="006938D6">
              <w:rPr>
                <w:rFonts w:ascii="Nirmala UI" w:eastAsia="Arial MT" w:hAnsi="Nirmala UI" w:cs="Nirmala UI"/>
                <w:sz w:val="20"/>
                <w:szCs w:val="20"/>
              </w:rPr>
              <w:t>১</w:t>
            </w:r>
          </w:p>
        </w:tc>
        <w:tc>
          <w:tcPr>
            <w:tcW w:w="2739"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1954"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r>
      <w:tr w:rsidR="006938D6" w:rsidRPr="006938D6" w:rsidTr="001A612A">
        <w:trPr>
          <w:trHeight w:val="350"/>
        </w:trPr>
        <w:tc>
          <w:tcPr>
            <w:tcW w:w="307" w:type="pct"/>
          </w:tcPr>
          <w:p w:rsidR="006938D6" w:rsidRPr="006938D6" w:rsidRDefault="006938D6" w:rsidP="001A612A">
            <w:pPr>
              <w:widowControl w:val="0"/>
              <w:autoSpaceDE w:val="0"/>
              <w:autoSpaceDN w:val="0"/>
              <w:spacing w:after="0" w:line="240" w:lineRule="auto"/>
              <w:ind w:left="5"/>
              <w:jc w:val="center"/>
              <w:rPr>
                <w:rFonts w:ascii="Nirmala UI" w:eastAsia="Arial MT" w:hAnsi="Nirmala UI" w:cs="Nirmala UI"/>
                <w:sz w:val="20"/>
                <w:szCs w:val="20"/>
              </w:rPr>
            </w:pPr>
            <w:r w:rsidRPr="006938D6">
              <w:rPr>
                <w:rFonts w:ascii="Nirmala UI" w:eastAsia="Arial MT" w:hAnsi="Nirmala UI" w:cs="Nirmala UI"/>
                <w:sz w:val="20"/>
                <w:szCs w:val="20"/>
              </w:rPr>
              <w:t>২</w:t>
            </w:r>
          </w:p>
        </w:tc>
        <w:tc>
          <w:tcPr>
            <w:tcW w:w="2739"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1954"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r>
      <w:tr w:rsidR="006938D6" w:rsidRPr="006938D6" w:rsidTr="001A612A">
        <w:trPr>
          <w:trHeight w:val="342"/>
        </w:trPr>
        <w:tc>
          <w:tcPr>
            <w:tcW w:w="307" w:type="pct"/>
          </w:tcPr>
          <w:p w:rsidR="006938D6" w:rsidRPr="006938D6" w:rsidRDefault="006938D6" w:rsidP="001A612A">
            <w:pPr>
              <w:widowControl w:val="0"/>
              <w:autoSpaceDE w:val="0"/>
              <w:autoSpaceDN w:val="0"/>
              <w:spacing w:after="0" w:line="240" w:lineRule="auto"/>
              <w:ind w:left="5"/>
              <w:jc w:val="center"/>
              <w:rPr>
                <w:rFonts w:ascii="Nirmala UI" w:eastAsia="Arial MT" w:hAnsi="Nirmala UI" w:cs="Nirmala UI"/>
                <w:sz w:val="20"/>
                <w:szCs w:val="20"/>
              </w:rPr>
            </w:pPr>
            <w:r w:rsidRPr="006938D6">
              <w:rPr>
                <w:rFonts w:ascii="Nirmala UI" w:eastAsia="Arial MT" w:hAnsi="Nirmala UI" w:cs="Nirmala UI"/>
                <w:sz w:val="20"/>
                <w:szCs w:val="20"/>
              </w:rPr>
              <w:t>৩</w:t>
            </w:r>
          </w:p>
        </w:tc>
        <w:tc>
          <w:tcPr>
            <w:tcW w:w="2739"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1954"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r>
      <w:tr w:rsidR="006938D6" w:rsidRPr="006938D6" w:rsidTr="001A612A">
        <w:trPr>
          <w:trHeight w:val="350"/>
        </w:trPr>
        <w:tc>
          <w:tcPr>
            <w:tcW w:w="307" w:type="pct"/>
          </w:tcPr>
          <w:p w:rsidR="006938D6" w:rsidRPr="006938D6" w:rsidRDefault="006938D6" w:rsidP="001A612A">
            <w:pPr>
              <w:widowControl w:val="0"/>
              <w:autoSpaceDE w:val="0"/>
              <w:autoSpaceDN w:val="0"/>
              <w:spacing w:after="0" w:line="240" w:lineRule="auto"/>
              <w:ind w:left="5"/>
              <w:jc w:val="center"/>
              <w:rPr>
                <w:rFonts w:ascii="Nirmala UI" w:eastAsia="Arial MT" w:hAnsi="Nirmala UI" w:cs="Nirmala UI"/>
                <w:sz w:val="20"/>
                <w:szCs w:val="20"/>
              </w:rPr>
            </w:pPr>
            <w:r w:rsidRPr="006938D6">
              <w:rPr>
                <w:rFonts w:ascii="Nirmala UI" w:eastAsia="Arial MT" w:hAnsi="Nirmala UI" w:cs="Nirmala UI"/>
                <w:sz w:val="20"/>
                <w:szCs w:val="20"/>
              </w:rPr>
              <w:t>৪</w:t>
            </w:r>
          </w:p>
        </w:tc>
        <w:tc>
          <w:tcPr>
            <w:tcW w:w="2739"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1954"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r>
      <w:tr w:rsidR="006938D6" w:rsidRPr="006938D6" w:rsidTr="001A612A">
        <w:trPr>
          <w:trHeight w:val="352"/>
        </w:trPr>
        <w:tc>
          <w:tcPr>
            <w:tcW w:w="307" w:type="pct"/>
          </w:tcPr>
          <w:p w:rsidR="006938D6" w:rsidRPr="006938D6" w:rsidRDefault="006938D6" w:rsidP="001A612A">
            <w:pPr>
              <w:widowControl w:val="0"/>
              <w:autoSpaceDE w:val="0"/>
              <w:autoSpaceDN w:val="0"/>
              <w:spacing w:after="0" w:line="240" w:lineRule="auto"/>
              <w:ind w:left="5"/>
              <w:jc w:val="center"/>
              <w:rPr>
                <w:rFonts w:ascii="Nirmala UI" w:eastAsia="Arial MT" w:hAnsi="Nirmala UI" w:cs="Nirmala UI"/>
                <w:sz w:val="20"/>
                <w:szCs w:val="20"/>
              </w:rPr>
            </w:pPr>
            <w:r w:rsidRPr="006938D6">
              <w:rPr>
                <w:rFonts w:ascii="Nirmala UI" w:eastAsia="Arial MT" w:hAnsi="Nirmala UI" w:cs="Nirmala UI"/>
                <w:sz w:val="20"/>
                <w:szCs w:val="20"/>
              </w:rPr>
              <w:t>৫</w:t>
            </w:r>
          </w:p>
        </w:tc>
        <w:tc>
          <w:tcPr>
            <w:tcW w:w="2739"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1954"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r>
      <w:tr w:rsidR="006938D6" w:rsidRPr="006938D6" w:rsidTr="001A612A">
        <w:trPr>
          <w:trHeight w:val="441"/>
        </w:trPr>
        <w:tc>
          <w:tcPr>
            <w:tcW w:w="307" w:type="pct"/>
            <w:shd w:val="clear" w:color="auto" w:fill="auto"/>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2739" w:type="pct"/>
            <w:shd w:val="clear" w:color="auto" w:fill="auto"/>
          </w:tcPr>
          <w:p w:rsidR="006938D6" w:rsidRPr="006938D6" w:rsidRDefault="006938D6" w:rsidP="001A612A">
            <w:pPr>
              <w:widowControl w:val="0"/>
              <w:autoSpaceDE w:val="0"/>
              <w:autoSpaceDN w:val="0"/>
              <w:spacing w:after="0" w:line="240" w:lineRule="auto"/>
              <w:ind w:left="2813" w:right="2812"/>
              <w:jc w:val="center"/>
              <w:rPr>
                <w:rFonts w:ascii="Nirmala UI" w:eastAsia="Arial MT" w:hAnsi="Nirmala UI" w:cs="Nirmala UI"/>
                <w:bCs/>
                <w:sz w:val="20"/>
                <w:szCs w:val="20"/>
              </w:rPr>
            </w:pPr>
            <w:r w:rsidRPr="006938D6">
              <w:rPr>
                <w:rFonts w:ascii="Nirmala UI" w:eastAsia="Arial MT" w:hAnsi="Nirmala UI" w:cs="Nirmala UI"/>
                <w:bCs/>
                <w:sz w:val="20"/>
                <w:szCs w:val="20"/>
              </w:rPr>
              <w:t>মোট</w:t>
            </w:r>
          </w:p>
        </w:tc>
        <w:tc>
          <w:tcPr>
            <w:tcW w:w="1954" w:type="pct"/>
            <w:shd w:val="clear" w:color="auto" w:fill="auto"/>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r>
    </w:tbl>
    <w:p w:rsidR="006938D6" w:rsidRPr="006938D6" w:rsidRDefault="006938D6" w:rsidP="006938D6">
      <w:pPr>
        <w:widowControl w:val="0"/>
        <w:autoSpaceDE w:val="0"/>
        <w:autoSpaceDN w:val="0"/>
        <w:spacing w:after="0" w:line="240" w:lineRule="auto"/>
        <w:rPr>
          <w:rFonts w:ascii="Nirmala UI" w:eastAsia="Times New Roman" w:hAnsi="Nirmala UI" w:cs="Nirmala UI"/>
          <w:b/>
          <w:sz w:val="20"/>
          <w:szCs w:val="20"/>
        </w:rPr>
      </w:pPr>
    </w:p>
    <w:p w:rsidR="006938D6" w:rsidRPr="006938D6" w:rsidRDefault="006938D6" w:rsidP="006938D6">
      <w:pPr>
        <w:widowControl w:val="0"/>
        <w:tabs>
          <w:tab w:val="left" w:pos="1256"/>
        </w:tabs>
        <w:autoSpaceDE w:val="0"/>
        <w:autoSpaceDN w:val="0"/>
        <w:spacing w:before="94"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rPr>
        <w:tab/>
      </w:r>
      <w:r w:rsidRPr="006938D6">
        <w:rPr>
          <w:rFonts w:ascii="Nirmala UI" w:eastAsia="Times New Roman" w:hAnsi="Nirmala UI" w:cs="Nirmala UI"/>
          <w:b/>
          <w:sz w:val="20"/>
          <w:szCs w:val="20"/>
          <w:cs/>
          <w:lang w:bidi="bn-IN"/>
        </w:rPr>
        <w:t>৩.</w:t>
      </w:r>
      <w:r w:rsidRPr="006938D6">
        <w:rPr>
          <w:rFonts w:ascii="Nirmala UI" w:eastAsia="Times New Roman" w:hAnsi="Nirmala UI" w:cs="Nirmala UI"/>
          <w:b/>
          <w:sz w:val="20"/>
          <w:szCs w:val="20"/>
          <w:cs/>
          <w:lang w:bidi="bn-IN"/>
        </w:rPr>
        <w:tab/>
      </w:r>
      <w:r w:rsidRPr="006938D6">
        <w:rPr>
          <w:rFonts w:ascii="Nirmala UI" w:eastAsia="Times New Roman" w:hAnsi="Nirmala UI" w:cs="Nirmala UI"/>
          <w:b/>
          <w:sz w:val="20"/>
          <w:szCs w:val="20"/>
        </w:rPr>
        <w:t>অভ্যন্তরীণ নিরীক্ষা ইউনিটের উদ্দেশ্য, কর্তৃত্ব এবং দায়িত্ব</w:t>
      </w:r>
    </w:p>
    <w:p w:rsidR="006938D6" w:rsidRPr="006938D6" w:rsidRDefault="006938D6" w:rsidP="006938D6">
      <w:pPr>
        <w:widowControl w:val="0"/>
        <w:tabs>
          <w:tab w:val="left" w:pos="1256"/>
        </w:tabs>
        <w:autoSpaceDE w:val="0"/>
        <w:autoSpaceDN w:val="0"/>
        <w:spacing w:after="0" w:line="240" w:lineRule="auto"/>
        <w:rPr>
          <w:rFonts w:ascii="Nirmala UI" w:eastAsia="Times New Roman" w:hAnsi="Nirmala UI" w:cs="Nirmala UI"/>
          <w:b/>
          <w:sz w:val="20"/>
          <w:szCs w:val="20"/>
          <w:lang w:bidi="bn-IN"/>
        </w:rPr>
      </w:pPr>
      <w:r w:rsidRPr="006938D6">
        <w:rPr>
          <w:rFonts w:ascii="Nirmala UI" w:eastAsia="Times New Roman" w:hAnsi="Nirmala UI" w:cs="Nirmala UI"/>
          <w:b/>
          <w:sz w:val="20"/>
          <w:szCs w:val="20"/>
          <w:cs/>
          <w:lang w:bidi="bn-IN"/>
        </w:rPr>
        <w:tab/>
        <w:t>৩.১</w:t>
      </w:r>
      <w:r w:rsidRPr="006938D6">
        <w:rPr>
          <w:rFonts w:ascii="Nirmala UI" w:eastAsia="Times New Roman" w:hAnsi="Nirmala UI" w:cs="Nirmala UI"/>
          <w:b/>
          <w:sz w:val="20"/>
          <w:szCs w:val="20"/>
          <w:cs/>
          <w:lang w:bidi="bn-IN"/>
        </w:rPr>
        <w:tab/>
      </w:r>
      <w:r w:rsidRPr="006938D6">
        <w:rPr>
          <w:rFonts w:ascii="Nirmala UI" w:eastAsia="Times New Roman" w:hAnsi="Nirmala UI" w:cs="Nirmala UI"/>
          <w:b/>
          <w:sz w:val="20"/>
          <w:szCs w:val="20"/>
        </w:rPr>
        <w:t>উদ্দেশ্য</w:t>
      </w:r>
    </w:p>
    <w:p w:rsidR="006938D6" w:rsidRPr="006938D6" w:rsidRDefault="006938D6" w:rsidP="006938D6">
      <w:pPr>
        <w:widowControl w:val="0"/>
        <w:shd w:val="clear" w:color="auto" w:fill="FFFFFF" w:themeFill="background1"/>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MDA’র কার্যক্রম উন্নীতকরণে IAU স্বাধীন, উদ্দেশ্যমূলক, ঝুঁকি ব্যবস্থাপনা, নিয়ন্ত্রণ ও গভর্নেন্স প্রক্রিয়াসমূহের কার্যকারিতার নিশ্চয়তা এবং সেবা প্রদানকারী ইউনিট হিসেবে কাজ করে। ইহা ঝুঁকি ব্যবস্থাপনা, নিয়ন্ত্রণ ও গভর্নেন্স প্রক্রিয়াসমূহের কার্যকারিতা মূল্যায়নপূর্বক সমৃদ্ধ করার জন্য একটি পদ্ধতিগত, সুশৃঙ্খল প্রক্রিয়া যা MDA-কে তার উদ্দেশ্য পূরণ করতে সহায়তা করে । IAU অন্যান্য বিভাগীয় ইউনিট এবং উন্নয়ন অংশীদারদের সাথে অংশীদারিত্বের ভিত্তিতে MDA’র অধীনে প্রকল্প এবং কার্যক্রমসমূহ ক্রমাগত উন্নত করার জন্য সচেষ্ট  থাকে। </w:t>
      </w:r>
    </w:p>
    <w:p w:rsidR="006938D6" w:rsidRPr="006938D6" w:rsidRDefault="006938D6" w:rsidP="006938D6">
      <w:pPr>
        <w:widowControl w:val="0"/>
        <w:shd w:val="clear" w:color="auto" w:fill="FFFFFF" w:themeFill="background1"/>
        <w:autoSpaceDE w:val="0"/>
        <w:autoSpaceDN w:val="0"/>
        <w:spacing w:after="0" w:line="240" w:lineRule="auto"/>
        <w:ind w:left="2160" w:right="620"/>
        <w:jc w:val="both"/>
        <w:rPr>
          <w:rFonts w:ascii="Nirmala UI" w:eastAsia="Times New Roman" w:hAnsi="Nirmala UI" w:cs="Nirmala UI"/>
          <w:sz w:val="20"/>
          <w:szCs w:val="20"/>
        </w:rPr>
      </w:pPr>
    </w:p>
    <w:p w:rsidR="006938D6" w:rsidRPr="006938D6" w:rsidRDefault="006938D6" w:rsidP="006938D6">
      <w:pPr>
        <w:widowControl w:val="0"/>
        <w:tabs>
          <w:tab w:val="left" w:pos="1256"/>
        </w:tabs>
        <w:autoSpaceDE w:val="0"/>
        <w:autoSpaceDN w:val="0"/>
        <w:spacing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cs/>
          <w:lang w:bidi="bn-IN"/>
        </w:rPr>
        <w:tab/>
        <w:t>৩.২</w:t>
      </w:r>
      <w:r w:rsidRPr="006938D6">
        <w:rPr>
          <w:rFonts w:ascii="Nirmala UI" w:eastAsia="Times New Roman" w:hAnsi="Nirmala UI" w:cs="Nirmala UI"/>
          <w:b/>
          <w:sz w:val="20"/>
          <w:szCs w:val="20"/>
          <w:cs/>
          <w:lang w:bidi="bn-IN"/>
        </w:rPr>
        <w:tab/>
      </w:r>
      <w:r w:rsidRPr="006938D6">
        <w:rPr>
          <w:rFonts w:ascii="Nirmala UI" w:eastAsia="Times New Roman" w:hAnsi="Nirmala UI" w:cs="Nirmala UI"/>
          <w:b/>
          <w:sz w:val="20"/>
          <w:szCs w:val="20"/>
        </w:rPr>
        <w:t>কর্তৃত্ব</w:t>
      </w:r>
    </w:p>
    <w:p w:rsidR="006938D6" w:rsidRPr="006938D6" w:rsidRDefault="006938D6" w:rsidP="006938D6">
      <w:pPr>
        <w:widowControl w:val="0"/>
        <w:shd w:val="clear" w:color="auto" w:fill="FFFFFF" w:themeFill="background1"/>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অভ্যন্তরীণ নিরীক্ষক কাজের সময় নিরীক্ষিত প্রতিষ্ঠানের প্রাঙ্গনে প্রবেশ করার এবং থাকার জন্য অনুমোদিত। IAU এর নিরীক্ষকগণ </w:t>
      </w:r>
      <w:r w:rsidRPr="006938D6">
        <w:rPr>
          <w:rFonts w:ascii="Nirmala UI" w:hAnsi="Nirmala UI" w:cs="Nirmala UI"/>
          <w:sz w:val="20"/>
          <w:szCs w:val="20"/>
        </w:rPr>
        <w:t>MDA</w:t>
      </w:r>
      <w:r w:rsidRPr="006938D6">
        <w:rPr>
          <w:rFonts w:ascii="Nirmala UI" w:eastAsia="Times New Roman" w:hAnsi="Nirmala UI" w:cs="Nirmala UI"/>
          <w:sz w:val="20"/>
          <w:szCs w:val="20"/>
        </w:rPr>
        <w:t xml:space="preserve">’র অন্তর্গত নথি, সম্পত্তিগুলিতে সম্পূর্ণ </w:t>
      </w:r>
      <w:r w:rsidRPr="006938D6">
        <w:rPr>
          <w:rFonts w:ascii="Nirmala UI" w:eastAsia="Times New Roman" w:hAnsi="Nirmala UI" w:cs="Nirmala UI"/>
          <w:sz w:val="20"/>
          <w:szCs w:val="20"/>
          <w:cs/>
          <w:lang w:bidi="bn-IN"/>
        </w:rPr>
        <w:t>অধিগম্যতা</w:t>
      </w:r>
      <w:r w:rsidRPr="006938D6">
        <w:rPr>
          <w:rFonts w:ascii="Nirmala UI" w:eastAsia="Times New Roman" w:hAnsi="Nirmala UI" w:cs="Nirmala UI"/>
          <w:sz w:val="20"/>
          <w:szCs w:val="20"/>
        </w:rPr>
        <w:t xml:space="preserve">, এবং যে কোনও প্রতিবেদন থেকে নথি পরীক্ষা, প্রতিলিপি করা বা বের করতে পারার অধিকারী । IAU এর নিরীক্ষকগণ নিরীক্ষার দায়িত্ব পালনে নিরীক্ষিত প্রতিষ্ঠানের নিকট হতে বাধাহীন প্রবেশাধীকার এবং সমর্থন পাওয়ার সম্পূর্ণ অধিকার রাখেন । নিরীক্ষার জন্য কোনও কর্মী নিরীক্ষককে প্রয়োজনীয় তথ্য, অ্যাক্সেস এবং অন্যান্য সহায়তা প্রদান না করলে তিনি শাস্তির আওতায় আসবেন । </w:t>
      </w:r>
    </w:p>
    <w:p w:rsidR="006938D6" w:rsidRPr="006938D6" w:rsidRDefault="006938D6" w:rsidP="006938D6">
      <w:pPr>
        <w:widowControl w:val="0"/>
        <w:shd w:val="clear" w:color="auto" w:fill="FFFFFF" w:themeFill="background1"/>
        <w:autoSpaceDE w:val="0"/>
        <w:autoSpaceDN w:val="0"/>
        <w:spacing w:after="0" w:line="240" w:lineRule="auto"/>
        <w:ind w:left="2160" w:right="620"/>
        <w:jc w:val="both"/>
        <w:rPr>
          <w:rFonts w:ascii="Nirmala UI" w:eastAsia="Times New Roman" w:hAnsi="Nirmala UI" w:cs="Nirmala UI"/>
          <w:sz w:val="20"/>
          <w:szCs w:val="20"/>
        </w:rPr>
      </w:pPr>
    </w:p>
    <w:p w:rsidR="006938D6" w:rsidRPr="006938D6" w:rsidRDefault="006938D6" w:rsidP="006938D6">
      <w:pPr>
        <w:widowControl w:val="0"/>
        <w:shd w:val="clear" w:color="auto" w:fill="FFFFFF" w:themeFill="background1"/>
        <w:autoSpaceDE w:val="0"/>
        <w:autoSpaceDN w:val="0"/>
        <w:spacing w:after="0" w:line="240" w:lineRule="auto"/>
        <w:ind w:left="2160" w:right="620"/>
        <w:jc w:val="both"/>
        <w:rPr>
          <w:rFonts w:ascii="Nirmala UI" w:eastAsia="Times New Roman" w:hAnsi="Nirmala UI" w:cs="Nirmala UI"/>
          <w:sz w:val="20"/>
          <w:szCs w:val="20"/>
        </w:rPr>
      </w:pPr>
    </w:p>
    <w:p w:rsidR="006938D6" w:rsidRPr="006938D6" w:rsidRDefault="006938D6" w:rsidP="006938D6">
      <w:pPr>
        <w:widowControl w:val="0"/>
        <w:tabs>
          <w:tab w:val="left" w:pos="1256"/>
        </w:tabs>
        <w:autoSpaceDE w:val="0"/>
        <w:autoSpaceDN w:val="0"/>
        <w:spacing w:after="0" w:line="240" w:lineRule="auto"/>
        <w:rPr>
          <w:rFonts w:ascii="Nirmala UI" w:eastAsia="Times New Roman" w:hAnsi="Nirmala UI" w:cs="Nirmala UI"/>
          <w:b/>
          <w:sz w:val="20"/>
          <w:szCs w:val="20"/>
          <w:lang w:bidi="bn-IN"/>
        </w:rPr>
      </w:pPr>
      <w:r w:rsidRPr="006938D6">
        <w:rPr>
          <w:rFonts w:ascii="Nirmala UI" w:eastAsia="Times New Roman" w:hAnsi="Nirmala UI" w:cs="Nirmala UI"/>
          <w:b/>
          <w:sz w:val="20"/>
          <w:szCs w:val="20"/>
          <w:cs/>
          <w:lang w:bidi="bn-IN"/>
        </w:rPr>
        <w:tab/>
        <w:t>৩.৩</w:t>
      </w:r>
      <w:r w:rsidRPr="006938D6">
        <w:rPr>
          <w:rFonts w:ascii="Nirmala UI" w:eastAsia="Times New Roman" w:hAnsi="Nirmala UI" w:cs="Nirmala UI"/>
          <w:b/>
          <w:sz w:val="20"/>
          <w:szCs w:val="20"/>
          <w:cs/>
          <w:lang w:bidi="bn-IN"/>
        </w:rPr>
        <w:tab/>
      </w:r>
      <w:r w:rsidRPr="006938D6">
        <w:rPr>
          <w:rFonts w:ascii="Nirmala UI" w:eastAsia="Times New Roman" w:hAnsi="Nirmala UI" w:cs="Nirmala UI"/>
          <w:b/>
          <w:sz w:val="20"/>
          <w:szCs w:val="20"/>
        </w:rPr>
        <w:t>দায়িত্ব</w:t>
      </w:r>
    </w:p>
    <w:p w:rsidR="006938D6" w:rsidRPr="006938D6" w:rsidRDefault="006938D6" w:rsidP="006938D6">
      <w:pPr>
        <w:widowControl w:val="0"/>
        <w:shd w:val="clear" w:color="auto" w:fill="FFFFFF" w:themeFill="background1"/>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IAU-এর প্রধান এবং অন্যান্য নিরীক্ষকগণ MDA-কে উপরোক্ত বিষয়ে স্বাধীন, বস্তুনিষ্ঠ নিশ্চয়তা সেবা প্রদানের জন্য দায়িত্বপ্রাপ্ত । অভ্যন্তরীণ নিরীক্ষার দায়িত্ব হল ঝুঁকি ব্যবস্থাপনা, নিয়ন্ত্রণ এবং গভর্নেন্স প্রক্রিয়াগুলির পর্যাপ্ততা এবং কার্যকারিতা মূল্যায়ন করা এবং উন্নতির সুপারিশ করা । IAU’র মূল দায়িত্ব </w:t>
      </w:r>
      <w:r w:rsidRPr="006938D6">
        <w:rPr>
          <w:rFonts w:ascii="Nirmala UI" w:hAnsi="Nirmala UI" w:cs="Nirmala UI"/>
          <w:sz w:val="20"/>
          <w:szCs w:val="20"/>
        </w:rPr>
        <w:t>MDA</w:t>
      </w:r>
      <w:r w:rsidRPr="006938D6">
        <w:rPr>
          <w:rFonts w:ascii="Nirmala UI" w:eastAsia="Times New Roman" w:hAnsi="Nirmala UI" w:cs="Nirmala UI"/>
          <w:sz w:val="20"/>
          <w:szCs w:val="20"/>
        </w:rPr>
        <w:t>-এর উদ্দেশ্যগুলি অর্জন এবং কার্যক্রমসমূহের উন্নতিতে সহায়তা করা ।</w:t>
      </w:r>
    </w:p>
    <w:p w:rsidR="006938D6" w:rsidRPr="006938D6" w:rsidRDefault="006938D6" w:rsidP="006938D6">
      <w:pPr>
        <w:widowControl w:val="0"/>
        <w:shd w:val="clear" w:color="auto" w:fill="FFFFFF" w:themeFill="background1"/>
        <w:autoSpaceDE w:val="0"/>
        <w:autoSpaceDN w:val="0"/>
        <w:spacing w:after="0" w:line="240" w:lineRule="auto"/>
        <w:ind w:left="2160" w:right="620"/>
        <w:jc w:val="both"/>
        <w:rPr>
          <w:rFonts w:ascii="Nirmala UI" w:eastAsia="Times New Roman" w:hAnsi="Nirmala UI" w:cs="Nirmala UI"/>
          <w:sz w:val="20"/>
          <w:szCs w:val="20"/>
        </w:rPr>
      </w:pPr>
    </w:p>
    <w:p w:rsidR="006938D6" w:rsidRPr="006938D6" w:rsidRDefault="006938D6" w:rsidP="006938D6">
      <w:pPr>
        <w:widowControl w:val="0"/>
        <w:shd w:val="clear" w:color="auto" w:fill="FFFFFF" w:themeFill="background1"/>
        <w:tabs>
          <w:tab w:val="left" w:pos="1256"/>
        </w:tabs>
        <w:autoSpaceDE w:val="0"/>
        <w:autoSpaceDN w:val="0"/>
        <w:spacing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rPr>
        <w:tab/>
      </w:r>
      <w:bookmarkStart w:id="3" w:name="_Hlk127796892"/>
      <w:r w:rsidRPr="006938D6">
        <w:rPr>
          <w:rFonts w:ascii="Nirmala UI" w:eastAsia="Times New Roman" w:hAnsi="Nirmala UI" w:cs="Nirmala UI"/>
          <w:b/>
          <w:sz w:val="20"/>
          <w:szCs w:val="20"/>
          <w:cs/>
          <w:lang w:bidi="bn-IN"/>
        </w:rPr>
        <w:t>৪</w:t>
      </w:r>
      <w:r w:rsidRPr="006938D6">
        <w:rPr>
          <w:rFonts w:ascii="Nirmala UI" w:eastAsia="Times New Roman" w:hAnsi="Nirmala UI" w:cs="Nirmala UI"/>
          <w:b/>
          <w:sz w:val="20"/>
          <w:szCs w:val="20"/>
        </w:rPr>
        <w:t xml:space="preserve">. </w:t>
      </w:r>
      <w:bookmarkEnd w:id="3"/>
      <w:r w:rsidRPr="006938D6">
        <w:rPr>
          <w:rFonts w:ascii="Nirmala UI" w:eastAsia="Times New Roman" w:hAnsi="Nirmala UI" w:cs="Nirmala UI"/>
          <w:b/>
          <w:sz w:val="20"/>
          <w:szCs w:val="20"/>
          <w:cs/>
        </w:rPr>
        <w:tab/>
      </w:r>
      <w:r w:rsidRPr="006938D6">
        <w:rPr>
          <w:rFonts w:ascii="Nirmala UI" w:eastAsia="Times New Roman" w:hAnsi="Nirmala UI" w:cs="Nirmala UI"/>
          <w:b/>
          <w:sz w:val="20"/>
          <w:szCs w:val="20"/>
        </w:rPr>
        <w:t>নিরীক্ষার উদ্দেশ্য</w:t>
      </w:r>
    </w:p>
    <w:p w:rsidR="006938D6" w:rsidRPr="006938D6" w:rsidRDefault="006938D6" w:rsidP="006938D6">
      <w:pPr>
        <w:widowControl w:val="0"/>
        <w:shd w:val="clear" w:color="auto" w:fill="FFFFFF" w:themeFill="background1"/>
        <w:tabs>
          <w:tab w:val="left" w:pos="2160"/>
        </w:tabs>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অভ্যন্তরীণ নিরীক্ষার উদ্দেশ্য হল ঊর্ধ্বতন ব্যবস্থাপনা, প্রকল্প এবং অপারেশনাল </w:t>
      </w:r>
      <w:r w:rsidRPr="006938D6">
        <w:rPr>
          <w:rFonts w:ascii="Nirmala UI" w:eastAsia="Times New Roman" w:hAnsi="Nirmala UI" w:cs="Nirmala UI"/>
          <w:sz w:val="20"/>
          <w:szCs w:val="20"/>
        </w:rPr>
        <w:lastRenderedPageBreak/>
        <w:t xml:space="preserve">ব্যবস্থাপনা এবং অন্যান্য সুবিধাভোগীদের জন্য প্রতিষ্ঠানের উদ্দেশ্যে অর্জন বাস্তবায়নে সহায়তা প্রদান করা । অভ্যন্তরীণ নিরীক্ষার উদ্দেশ্যের মূলে রয়েছে অপারেশনাল দক্ষতা এবং ঝুঁকি ব্যবস্থাপনা; </w:t>
      </w:r>
      <w:r w:rsidRPr="006938D6">
        <w:rPr>
          <w:rFonts w:ascii="Nirmala UI" w:hAnsi="Nirmala UI" w:cs="Nirmala UI"/>
          <w:sz w:val="20"/>
          <w:szCs w:val="20"/>
        </w:rPr>
        <w:t>MDA</w:t>
      </w:r>
      <w:r w:rsidRPr="006938D6">
        <w:rPr>
          <w:rFonts w:ascii="Nirmala UI" w:eastAsia="Times New Roman" w:hAnsi="Nirmala UI" w:cs="Nirmala UI"/>
          <w:sz w:val="20"/>
          <w:szCs w:val="20"/>
        </w:rPr>
        <w:t xml:space="preserve">-তে গভর্নেন্স প্রক্রিয়া এবং অভ্যন্তরীণ নিয়ন্ত্রণ ব্যবস্থা, </w:t>
      </w:r>
      <w:bookmarkStart w:id="4" w:name="_Hlk127792650"/>
      <w:r w:rsidRPr="006938D6">
        <w:rPr>
          <w:rFonts w:ascii="Nirmala UI" w:hAnsi="Nirmala UI" w:cs="Nirmala UI"/>
          <w:sz w:val="20"/>
          <w:szCs w:val="20"/>
        </w:rPr>
        <w:t>MDA</w:t>
      </w:r>
      <w:bookmarkEnd w:id="4"/>
      <w:r w:rsidRPr="006938D6">
        <w:rPr>
          <w:rFonts w:ascii="Nirmala UI" w:eastAsia="Times New Roman" w:hAnsi="Nirmala UI" w:cs="Nirmala UI"/>
          <w:sz w:val="20"/>
          <w:szCs w:val="20"/>
        </w:rPr>
        <w:t>’র অধীনে প্রকল্প এবং অফিসের কার্যক্রম মূল্যায়নের মাধ্যমে উন্নতির জন্য সুপারিশ করা। অভ্যন্তরীণ নিরীক্ষার মাধ্যমে MDA’র উদ্দেশ্যসমূহ অর্জনে সহায়তা করার জন্য নিম্নলিখিত বিষয়ের উপর গুরুত্ব প্রদান করা হয়েছে ।</w:t>
      </w:r>
    </w:p>
    <w:p w:rsidR="006938D6" w:rsidRPr="006938D6" w:rsidRDefault="006938D6" w:rsidP="006938D6">
      <w:pPr>
        <w:widowControl w:val="0"/>
        <w:shd w:val="clear" w:color="auto" w:fill="FFFFFF" w:themeFill="background1"/>
        <w:tabs>
          <w:tab w:val="left" w:pos="2160"/>
        </w:tabs>
        <w:autoSpaceDE w:val="0"/>
        <w:autoSpaceDN w:val="0"/>
        <w:spacing w:after="0" w:line="240" w:lineRule="auto"/>
        <w:ind w:left="2160" w:right="620"/>
        <w:jc w:val="both"/>
        <w:rPr>
          <w:rFonts w:ascii="Nirmala UI" w:eastAsia="Times New Roman" w:hAnsi="Nirmala UI" w:cs="Nirmala UI"/>
          <w:sz w:val="20"/>
          <w:szCs w:val="20"/>
        </w:rPr>
      </w:pPr>
    </w:p>
    <w:p w:rsidR="006938D6" w:rsidRPr="006938D6" w:rsidRDefault="006938D6" w:rsidP="006938D6">
      <w:pPr>
        <w:widowControl w:val="0"/>
        <w:shd w:val="clear" w:color="auto" w:fill="FFFFFF" w:themeFill="background1"/>
        <w:tabs>
          <w:tab w:val="left" w:pos="900"/>
          <w:tab w:val="left" w:pos="1260"/>
          <w:tab w:val="left" w:pos="1620"/>
          <w:tab w:val="left" w:pos="2160"/>
        </w:tabs>
        <w:autoSpaceDE w:val="0"/>
        <w:autoSpaceDN w:val="0"/>
        <w:spacing w:after="0" w:line="240" w:lineRule="auto"/>
        <w:ind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                        ৪.১              </w:t>
      </w:r>
      <w:r w:rsidRPr="006938D6">
        <w:rPr>
          <w:rFonts w:ascii="Nirmala UI" w:eastAsia="Times New Roman" w:hAnsi="Nirmala UI" w:cs="Nirmala UI"/>
          <w:b/>
          <w:bCs/>
          <w:sz w:val="20"/>
          <w:szCs w:val="20"/>
        </w:rPr>
        <w:t>গভর্নেন্স:</w:t>
      </w:r>
    </w:p>
    <w:p w:rsidR="006938D6" w:rsidRPr="006938D6" w:rsidRDefault="006938D6" w:rsidP="006938D6">
      <w:pPr>
        <w:widowControl w:val="0"/>
        <w:tabs>
          <w:tab w:val="left" w:pos="1620"/>
          <w:tab w:val="left" w:pos="1980"/>
          <w:tab w:val="left" w:pos="2340"/>
          <w:tab w:val="left" w:pos="2430"/>
        </w:tabs>
        <w:autoSpaceDE w:val="0"/>
        <w:autoSpaceDN w:val="0"/>
        <w:spacing w:after="0" w:line="240" w:lineRule="auto"/>
        <w:ind w:right="620" w:hanging="45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                                                    i.    </w:t>
      </w:r>
      <w:r w:rsidRPr="006938D6">
        <w:rPr>
          <w:rFonts w:ascii="Nirmala UI" w:hAnsi="Nirmala UI" w:cs="Nirmala UI"/>
          <w:sz w:val="20"/>
          <w:szCs w:val="20"/>
        </w:rPr>
        <w:t>প্রতিষ্ঠানের ভিতরে যথাযথ নৈতিকতা এবং মূল্যবোধ প্রচার;</w:t>
      </w:r>
    </w:p>
    <w:p w:rsidR="006938D6" w:rsidRPr="006938D6" w:rsidRDefault="006938D6" w:rsidP="006938D6">
      <w:pPr>
        <w:tabs>
          <w:tab w:val="left" w:pos="1440"/>
        </w:tabs>
        <w:spacing w:after="0" w:line="240" w:lineRule="auto"/>
        <w:ind w:right="620" w:hanging="450"/>
        <w:jc w:val="both"/>
        <w:rPr>
          <w:rFonts w:ascii="Nirmala UI" w:hAnsi="Nirmala UI" w:cs="Nirmala UI"/>
          <w:sz w:val="20"/>
          <w:szCs w:val="20"/>
        </w:rPr>
      </w:pPr>
      <w:r w:rsidRPr="006938D6">
        <w:rPr>
          <w:rFonts w:ascii="Nirmala UI" w:hAnsi="Nirmala UI" w:cs="Nirmala UI"/>
          <w:sz w:val="20"/>
          <w:szCs w:val="20"/>
        </w:rPr>
        <w:t xml:space="preserve">                                                    </w:t>
      </w:r>
      <w:r w:rsidRPr="006938D6">
        <w:rPr>
          <w:rFonts w:ascii="Nirmala UI" w:eastAsia="Times New Roman" w:hAnsi="Nirmala UI" w:cs="Nirmala UI"/>
          <w:sz w:val="20"/>
          <w:szCs w:val="20"/>
        </w:rPr>
        <w:t>ii.</w:t>
      </w:r>
      <w:r w:rsidRPr="006938D6">
        <w:rPr>
          <w:rFonts w:ascii="Nirmala UI" w:hAnsi="Nirmala UI" w:cs="Nirmala UI"/>
          <w:sz w:val="20"/>
          <w:szCs w:val="20"/>
        </w:rPr>
        <w:t xml:space="preserve">   কার্যকর সাংগঠনিক দক্ষতা এবং জবাবদিহিতা নিশ্চিত করা;</w:t>
      </w:r>
    </w:p>
    <w:p w:rsidR="006938D6" w:rsidRPr="006938D6" w:rsidRDefault="006938D6" w:rsidP="006938D6">
      <w:pPr>
        <w:tabs>
          <w:tab w:val="left" w:pos="1440"/>
        </w:tabs>
        <w:spacing w:after="0" w:line="240" w:lineRule="auto"/>
        <w:ind w:right="620" w:hanging="450"/>
        <w:jc w:val="both"/>
        <w:rPr>
          <w:rFonts w:ascii="Nirmala UI" w:hAnsi="Nirmala UI" w:cs="Nirmala UI"/>
          <w:sz w:val="20"/>
          <w:szCs w:val="20"/>
        </w:rPr>
      </w:pPr>
    </w:p>
    <w:p w:rsidR="006938D6" w:rsidRPr="006938D6" w:rsidRDefault="006938D6" w:rsidP="006938D6">
      <w:pPr>
        <w:spacing w:after="0" w:line="240" w:lineRule="auto"/>
        <w:ind w:left="-450" w:right="620"/>
        <w:jc w:val="both"/>
        <w:rPr>
          <w:rFonts w:ascii="Nirmala UI" w:hAnsi="Nirmala UI" w:cs="Nirmala UI"/>
          <w:sz w:val="20"/>
          <w:szCs w:val="20"/>
        </w:rPr>
      </w:pPr>
      <w:r w:rsidRPr="006938D6">
        <w:rPr>
          <w:rFonts w:ascii="Nirmala UI" w:hAnsi="Nirmala UI" w:cs="Nirmala UI"/>
          <w:sz w:val="20"/>
          <w:szCs w:val="20"/>
        </w:rPr>
        <w:t xml:space="preserve">                                                    iii.  প্রতিষ্ঠানের উপযুক্ত স্থানে ঝুঁকি এবং নিয়ন্ত্রণ বিষয়ক তথ্য জানানো এবং</w:t>
      </w:r>
    </w:p>
    <w:p w:rsidR="006938D6" w:rsidRPr="006938D6" w:rsidRDefault="006938D6" w:rsidP="006938D6">
      <w:pPr>
        <w:widowControl w:val="0"/>
        <w:autoSpaceDE w:val="0"/>
        <w:autoSpaceDN w:val="0"/>
        <w:spacing w:after="0" w:line="240" w:lineRule="auto"/>
        <w:ind w:left="-450" w:right="620"/>
        <w:jc w:val="both"/>
        <w:rPr>
          <w:rFonts w:ascii="Nirmala UI" w:hAnsi="Nirmala UI" w:cs="Nirmala UI"/>
          <w:sz w:val="20"/>
          <w:szCs w:val="20"/>
        </w:rPr>
      </w:pPr>
      <w:r w:rsidRPr="006938D6">
        <w:rPr>
          <w:rFonts w:ascii="Nirmala UI" w:eastAsia="Times New Roman" w:hAnsi="Nirmala UI" w:cs="Nirmala UI"/>
          <w:sz w:val="20"/>
          <w:szCs w:val="20"/>
        </w:rPr>
        <w:t xml:space="preserve">                                                    iv.  </w:t>
      </w:r>
      <w:r w:rsidRPr="006938D6">
        <w:rPr>
          <w:rFonts w:ascii="Nirmala UI" w:hAnsi="Nirmala UI" w:cs="Nirmala UI"/>
          <w:sz w:val="20"/>
          <w:szCs w:val="20"/>
        </w:rPr>
        <w:t>MDA, OCAG, অভ্যন্তরীণ নিরীক্ষক এবং নিরীক্ষাধীন প্রতিষ্ঠানের মাঝে কার্যক্রম সমন্বয় এবং যোগাযোগ রক্ষা করা ।</w:t>
      </w:r>
    </w:p>
    <w:p w:rsidR="006938D6" w:rsidRPr="006938D6" w:rsidRDefault="006938D6" w:rsidP="006938D6">
      <w:pPr>
        <w:widowControl w:val="0"/>
        <w:autoSpaceDE w:val="0"/>
        <w:autoSpaceDN w:val="0"/>
        <w:spacing w:after="0" w:line="240" w:lineRule="auto"/>
        <w:ind w:left="-450" w:right="620"/>
        <w:jc w:val="both"/>
        <w:rPr>
          <w:rFonts w:ascii="Nirmala UI" w:eastAsia="Times New Roman" w:hAnsi="Nirmala UI" w:cs="Nirmala UI"/>
          <w:sz w:val="20"/>
          <w:szCs w:val="20"/>
        </w:rPr>
      </w:pPr>
    </w:p>
    <w:p w:rsidR="006938D6" w:rsidRPr="006938D6" w:rsidRDefault="006938D6" w:rsidP="006938D6">
      <w:pPr>
        <w:widowControl w:val="0"/>
        <w:tabs>
          <w:tab w:val="left" w:pos="1256"/>
        </w:tabs>
        <w:autoSpaceDE w:val="0"/>
        <w:autoSpaceDN w:val="0"/>
        <w:spacing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cs/>
          <w:lang w:bidi="bn-IN"/>
        </w:rPr>
        <w:tab/>
        <w:t>৪.২</w:t>
      </w:r>
      <w:r w:rsidRPr="006938D6">
        <w:rPr>
          <w:rFonts w:ascii="Nirmala UI" w:eastAsia="Times New Roman" w:hAnsi="Nirmala UI" w:cs="Nirmala UI"/>
          <w:b/>
          <w:sz w:val="20"/>
          <w:szCs w:val="20"/>
          <w:cs/>
          <w:lang w:bidi="bn-IN"/>
        </w:rPr>
        <w:tab/>
      </w:r>
      <w:r w:rsidRPr="006938D6">
        <w:rPr>
          <w:rFonts w:ascii="Nirmala UI" w:eastAsia="Times New Roman" w:hAnsi="Nirmala UI" w:cs="Nirmala UI"/>
          <w:b/>
          <w:sz w:val="20"/>
          <w:szCs w:val="20"/>
        </w:rPr>
        <w:t>ঝুঁকি ব্যবস্থাপনা সম্পর্কিত</w:t>
      </w:r>
    </w:p>
    <w:p w:rsidR="006938D6" w:rsidRPr="006938D6" w:rsidRDefault="006938D6" w:rsidP="006938D6">
      <w:pPr>
        <w:widowControl w:val="0"/>
        <w:tabs>
          <w:tab w:val="left" w:pos="2340"/>
          <w:tab w:val="left" w:pos="2520"/>
        </w:tabs>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i    </w:t>
      </w:r>
      <w:r w:rsidRPr="006938D6">
        <w:rPr>
          <w:rFonts w:ascii="Nirmala UI" w:hAnsi="Nirmala UI" w:cs="Nirmala UI"/>
          <w:sz w:val="20"/>
          <w:szCs w:val="20"/>
        </w:rPr>
        <w:t>নিরীক্ষাধীন প্রতিষ্ঠানের উদ্দেশ্যের সাথে সংগতি রেখে লক্ষ্য সামঞ্জস্যকরণ;</w:t>
      </w:r>
    </w:p>
    <w:p w:rsidR="006938D6" w:rsidRPr="006938D6" w:rsidRDefault="006938D6" w:rsidP="006938D6">
      <w:pPr>
        <w:widowControl w:val="0"/>
        <w:tabs>
          <w:tab w:val="left" w:pos="2520"/>
        </w:tabs>
        <w:autoSpaceDE w:val="0"/>
        <w:autoSpaceDN w:val="0"/>
        <w:spacing w:after="0" w:line="240" w:lineRule="auto"/>
        <w:ind w:left="2160" w:right="620"/>
        <w:jc w:val="both"/>
        <w:rPr>
          <w:rFonts w:ascii="Nirmala UI" w:eastAsia="Times New Roman" w:hAnsi="Nirmala UI" w:cs="Nirmala UI"/>
          <w:sz w:val="20"/>
          <w:szCs w:val="20"/>
        </w:rPr>
      </w:pPr>
      <w:bookmarkStart w:id="5" w:name="_Hlk127961166"/>
      <w:r w:rsidRPr="006938D6">
        <w:rPr>
          <w:rFonts w:ascii="Nirmala UI" w:eastAsia="Times New Roman" w:hAnsi="Nirmala UI" w:cs="Nirmala UI"/>
          <w:sz w:val="20"/>
          <w:szCs w:val="20"/>
        </w:rPr>
        <w:t>ii.</w:t>
      </w:r>
      <w:bookmarkEnd w:id="5"/>
      <w:r w:rsidRPr="006938D6">
        <w:rPr>
          <w:rFonts w:ascii="Nirmala UI" w:eastAsia="Times New Roman" w:hAnsi="Nirmala UI" w:cs="Nirmala UI"/>
          <w:sz w:val="20"/>
          <w:szCs w:val="20"/>
        </w:rPr>
        <w:t xml:space="preserve">  উল্লেখযোগ্য ঝুঁকি চিহ্নিত এবং মূল্যায়ন;</w:t>
      </w:r>
    </w:p>
    <w:p w:rsidR="006938D6" w:rsidRPr="006938D6" w:rsidRDefault="006938D6" w:rsidP="006938D6">
      <w:pPr>
        <w:pStyle w:val="ListParagraph"/>
        <w:tabs>
          <w:tab w:val="left" w:pos="2340"/>
          <w:tab w:val="left" w:pos="2520"/>
        </w:tabs>
        <w:ind w:left="1800" w:right="620" w:firstLine="0"/>
        <w:jc w:val="both"/>
        <w:rPr>
          <w:rFonts w:ascii="Nirmala UI" w:hAnsi="Nirmala UI" w:cs="Nirmala UI"/>
          <w:sz w:val="20"/>
          <w:szCs w:val="20"/>
        </w:rPr>
      </w:pPr>
      <w:r w:rsidRPr="006938D6">
        <w:rPr>
          <w:rFonts w:ascii="Nirmala UI" w:hAnsi="Nirmala UI" w:cs="Nirmala UI"/>
          <w:sz w:val="20"/>
          <w:szCs w:val="20"/>
        </w:rPr>
        <w:t xml:space="preserve">       iii. উপযুক্ত ঝুঁকির প্রতি সাড়া দেয়া যাতে নিরীক্ষাধীন প্রতিষ্ঠানের গ্রহণযোগ্য ঝুঁকিসমূহের সাথে সামঞ্জস্যপূর্ণ হয়; এবং</w:t>
      </w:r>
    </w:p>
    <w:p w:rsidR="006938D6" w:rsidRPr="006938D6" w:rsidRDefault="006938D6" w:rsidP="006938D6">
      <w:pPr>
        <w:widowControl w:val="0"/>
        <w:autoSpaceDE w:val="0"/>
        <w:autoSpaceDN w:val="0"/>
        <w:spacing w:after="0" w:line="240" w:lineRule="auto"/>
        <w:ind w:left="2160" w:right="620"/>
        <w:jc w:val="both"/>
        <w:rPr>
          <w:rFonts w:ascii="Nirmala UI" w:hAnsi="Nirmala UI" w:cs="Nirmala UI"/>
          <w:sz w:val="20"/>
          <w:szCs w:val="20"/>
        </w:rPr>
      </w:pPr>
      <w:r w:rsidRPr="006938D6">
        <w:rPr>
          <w:rFonts w:ascii="Nirmala UI" w:eastAsia="Times New Roman" w:hAnsi="Nirmala UI" w:cs="Nirmala UI"/>
          <w:sz w:val="20"/>
          <w:szCs w:val="20"/>
        </w:rPr>
        <w:t xml:space="preserve">iv. </w:t>
      </w:r>
      <w:r w:rsidRPr="006938D6">
        <w:rPr>
          <w:rFonts w:ascii="Nirmala UI" w:hAnsi="Nirmala UI" w:cs="Nirmala UI"/>
          <w:sz w:val="20"/>
          <w:szCs w:val="20"/>
        </w:rPr>
        <w:t>প্রাসঙ্গিক ঝুঁকির তথ্য সংগ্রহ করে সময়মত প্রতিষ্ঠানের জনবল, অভ্যন্তরীণ নিরীক্ষা কমিটি এবং সংশ্লিষ্ট সকলকে তাদের দায়িত্ব পালন করার বিষয়ে অবহিতকরণ।</w:t>
      </w:r>
    </w:p>
    <w:p w:rsidR="006938D6" w:rsidRPr="006938D6" w:rsidRDefault="006938D6" w:rsidP="006938D6">
      <w:pPr>
        <w:widowControl w:val="0"/>
        <w:tabs>
          <w:tab w:val="left" w:pos="1096"/>
        </w:tabs>
        <w:autoSpaceDE w:val="0"/>
        <w:autoSpaceDN w:val="0"/>
        <w:spacing w:after="0" w:line="240" w:lineRule="auto"/>
        <w:ind w:left="1096"/>
        <w:rPr>
          <w:rFonts w:ascii="Nirmala UI" w:hAnsi="Nirmala UI" w:cs="Nirmala UI"/>
          <w:sz w:val="20"/>
          <w:szCs w:val="20"/>
        </w:rPr>
      </w:pPr>
    </w:p>
    <w:p w:rsidR="006938D6" w:rsidRPr="006938D6" w:rsidRDefault="006938D6" w:rsidP="006938D6">
      <w:pPr>
        <w:widowControl w:val="0"/>
        <w:tabs>
          <w:tab w:val="left" w:pos="1256"/>
        </w:tabs>
        <w:autoSpaceDE w:val="0"/>
        <w:autoSpaceDN w:val="0"/>
        <w:spacing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cs/>
          <w:lang w:bidi="bn-IN"/>
        </w:rPr>
        <w:tab/>
        <w:t>৪.৩</w:t>
      </w:r>
      <w:r w:rsidRPr="006938D6">
        <w:rPr>
          <w:rFonts w:ascii="Nirmala UI" w:eastAsia="Times New Roman" w:hAnsi="Nirmala UI" w:cs="Nirmala UI"/>
          <w:b/>
          <w:sz w:val="20"/>
          <w:szCs w:val="20"/>
          <w:cs/>
          <w:lang w:bidi="bn-IN"/>
        </w:rPr>
        <w:tab/>
      </w:r>
      <w:r w:rsidRPr="006938D6">
        <w:rPr>
          <w:rFonts w:ascii="Nirmala UI" w:eastAsia="Times New Roman" w:hAnsi="Nirmala UI" w:cs="Nirmala UI"/>
          <w:b/>
          <w:sz w:val="20"/>
          <w:szCs w:val="20"/>
        </w:rPr>
        <w:t>অভ্যন্তরীণ নিয়ন্ত্রণ সম্পর্কিত :</w:t>
      </w:r>
    </w:p>
    <w:p w:rsidR="006938D6" w:rsidRPr="006938D6" w:rsidRDefault="006938D6" w:rsidP="006938D6">
      <w:pPr>
        <w:widowControl w:val="0"/>
        <w:shd w:val="clear" w:color="auto" w:fill="FFFFFF" w:themeFill="background1"/>
        <w:tabs>
          <w:tab w:val="left" w:pos="2340"/>
        </w:tabs>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i.  </w:t>
      </w:r>
      <w:r w:rsidRPr="006938D6">
        <w:rPr>
          <w:rFonts w:ascii="Nirmala UI" w:hAnsi="Nirmala UI" w:cs="Nirmala UI"/>
          <w:sz w:val="20"/>
          <w:szCs w:val="20"/>
        </w:rPr>
        <w:t>আর্থিক ও দক্ষতা তথ্যের নির্ভরযোগ্যতা এবং বিশুদ্ধতা;</w:t>
      </w:r>
    </w:p>
    <w:p w:rsidR="006938D6" w:rsidRP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ii. অভ্যন্তরীণ কার্যক্রমের কার্যকারিতা এবং কর্মদক্ষতা নিরুপণ;</w:t>
      </w:r>
    </w:p>
    <w:p w:rsidR="006938D6" w:rsidRPr="006938D6" w:rsidRDefault="006938D6" w:rsidP="006938D6">
      <w:pPr>
        <w:spacing w:after="0" w:line="240" w:lineRule="auto"/>
        <w:ind w:left="900" w:right="620"/>
        <w:jc w:val="both"/>
        <w:rPr>
          <w:rFonts w:ascii="Nirmala UI" w:hAnsi="Nirmala UI" w:cs="Nirmala UI"/>
          <w:sz w:val="20"/>
          <w:szCs w:val="20"/>
        </w:rPr>
      </w:pPr>
      <w:r w:rsidRPr="006938D6">
        <w:rPr>
          <w:rFonts w:ascii="Nirmala UI" w:hAnsi="Nirmala UI" w:cs="Nirmala UI"/>
          <w:sz w:val="20"/>
          <w:szCs w:val="20"/>
        </w:rPr>
        <w:t xml:space="preserve">                         iii. সম্পদের সুরক্ষা এবং</w:t>
      </w:r>
    </w:p>
    <w:p w:rsidR="006938D6" w:rsidRPr="006938D6" w:rsidRDefault="006938D6" w:rsidP="006938D6">
      <w:pPr>
        <w:spacing w:after="0" w:line="240" w:lineRule="auto"/>
        <w:ind w:left="900" w:right="620"/>
        <w:jc w:val="both"/>
        <w:rPr>
          <w:rFonts w:ascii="Nirmala UI" w:hAnsi="Nirmala UI" w:cs="Nirmala UI"/>
          <w:sz w:val="20"/>
          <w:szCs w:val="20"/>
        </w:rPr>
      </w:pPr>
      <w:r w:rsidRPr="006938D6">
        <w:rPr>
          <w:rFonts w:ascii="Nirmala UI" w:hAnsi="Nirmala UI" w:cs="Nirmala UI"/>
          <w:sz w:val="20"/>
          <w:szCs w:val="20"/>
        </w:rPr>
        <w:t xml:space="preserve">                         iv. আইন, প্রবিধান, নীতি, পদ্ধতি এবং চুক্তির প্রতিপালন নিশ্চিতকরণ।</w:t>
      </w:r>
    </w:p>
    <w:p w:rsidR="006938D6" w:rsidRPr="006938D6" w:rsidRDefault="006938D6" w:rsidP="006938D6">
      <w:pPr>
        <w:spacing w:after="0" w:line="240" w:lineRule="auto"/>
        <w:ind w:left="900" w:right="620"/>
        <w:jc w:val="both"/>
        <w:rPr>
          <w:rFonts w:ascii="Nirmala UI" w:hAnsi="Nirmala UI" w:cs="Nirmala UI"/>
          <w:sz w:val="20"/>
          <w:szCs w:val="20"/>
        </w:rPr>
      </w:pPr>
    </w:p>
    <w:p w:rsidR="006938D6" w:rsidRPr="006938D6" w:rsidRDefault="006938D6" w:rsidP="006938D6">
      <w:pPr>
        <w:widowControl w:val="0"/>
        <w:shd w:val="clear" w:color="auto" w:fill="FFFFFF" w:themeFill="background1"/>
        <w:tabs>
          <w:tab w:val="left" w:pos="1256"/>
        </w:tabs>
        <w:autoSpaceDE w:val="0"/>
        <w:autoSpaceDN w:val="0"/>
        <w:spacing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cs/>
          <w:lang w:bidi="bn-IN"/>
        </w:rPr>
        <w:tab/>
        <w:t>৪.৪</w:t>
      </w:r>
      <w:r w:rsidRPr="006938D6">
        <w:rPr>
          <w:rFonts w:ascii="Nirmala UI" w:eastAsia="Times New Roman" w:hAnsi="Nirmala UI" w:cs="Nirmala UI"/>
          <w:b/>
          <w:sz w:val="20"/>
          <w:szCs w:val="20"/>
          <w:cs/>
          <w:lang w:bidi="bn-IN"/>
        </w:rPr>
        <w:tab/>
      </w:r>
      <w:r w:rsidRPr="006938D6">
        <w:rPr>
          <w:rFonts w:ascii="Nirmala UI" w:eastAsia="Times New Roman" w:hAnsi="Nirmala UI" w:cs="Nirmala UI"/>
          <w:b/>
          <w:sz w:val="20"/>
          <w:szCs w:val="20"/>
        </w:rPr>
        <w:t>জালিয়াতি  :</w:t>
      </w:r>
    </w:p>
    <w:p w:rsidR="006938D6" w:rsidRP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IAU কর্তৃক জালিয়াতির সম্ভাবনা মূল্যায়ন এবং কিভাবে প্রতিষ্ঠানের জালিয়াতির ঝুঁকি নিয়ন্ত্রণ করে, তা নিশ্চিতকরণ । </w:t>
      </w:r>
    </w:p>
    <w:p w:rsidR="006938D6" w:rsidRPr="006938D6" w:rsidRDefault="006938D6" w:rsidP="006938D6">
      <w:pPr>
        <w:widowControl w:val="0"/>
        <w:autoSpaceDE w:val="0"/>
        <w:autoSpaceDN w:val="0"/>
        <w:spacing w:before="124" w:after="0" w:line="240" w:lineRule="auto"/>
        <w:ind w:left="2160" w:right="620"/>
        <w:jc w:val="both"/>
        <w:rPr>
          <w:rFonts w:ascii="Nirmala UI" w:eastAsia="Times New Roman" w:hAnsi="Nirmala UI" w:cs="Nirmala UI"/>
          <w:sz w:val="20"/>
          <w:szCs w:val="20"/>
        </w:rPr>
      </w:pPr>
    </w:p>
    <w:p w:rsidR="006938D6" w:rsidRPr="006938D6" w:rsidRDefault="006938D6" w:rsidP="006938D6">
      <w:pPr>
        <w:widowControl w:val="0"/>
        <w:tabs>
          <w:tab w:val="left" w:pos="1256"/>
        </w:tabs>
        <w:autoSpaceDE w:val="0"/>
        <w:autoSpaceDN w:val="0"/>
        <w:spacing w:after="0" w:line="240" w:lineRule="auto"/>
        <w:rPr>
          <w:rFonts w:ascii="Nirmala UI" w:eastAsia="Times New Roman" w:hAnsi="Nirmala UI" w:cs="Nirmala UI"/>
          <w:b/>
          <w:sz w:val="20"/>
          <w:szCs w:val="20"/>
        </w:rPr>
      </w:pPr>
      <w:bookmarkStart w:id="6" w:name="_Hlk124425205"/>
      <w:r w:rsidRPr="006938D6">
        <w:rPr>
          <w:rFonts w:ascii="Nirmala UI" w:eastAsia="Times New Roman" w:hAnsi="Nirmala UI" w:cs="Nirmala UI"/>
          <w:b/>
          <w:sz w:val="20"/>
          <w:szCs w:val="20"/>
          <w:cs/>
          <w:lang w:bidi="bn-IN"/>
        </w:rPr>
        <w:tab/>
        <w:t xml:space="preserve">৫.   </w:t>
      </w:r>
      <w:r w:rsidRPr="006938D6">
        <w:rPr>
          <w:rFonts w:ascii="Nirmala UI" w:eastAsia="Times New Roman" w:hAnsi="Nirmala UI" w:cs="Nirmala UI"/>
          <w:b/>
          <w:sz w:val="20"/>
          <w:szCs w:val="20"/>
          <w:cs/>
          <w:lang w:bidi="bn-IN"/>
        </w:rPr>
        <w:tab/>
      </w:r>
      <w:r w:rsidRPr="006938D6">
        <w:rPr>
          <w:rFonts w:ascii="Nirmala UI" w:eastAsia="Times New Roman" w:hAnsi="Nirmala UI" w:cs="Nirmala UI"/>
          <w:b/>
          <w:sz w:val="20"/>
          <w:szCs w:val="20"/>
        </w:rPr>
        <w:t>নিরীক্ষা</w:t>
      </w:r>
      <w:bookmarkEnd w:id="6"/>
      <w:r w:rsidRPr="006938D6">
        <w:rPr>
          <w:rFonts w:ascii="Nirmala UI" w:eastAsia="Times New Roman" w:hAnsi="Nirmala UI" w:cs="Nirmala UI"/>
          <w:b/>
          <w:sz w:val="20"/>
          <w:szCs w:val="20"/>
        </w:rPr>
        <w:t>র সময়সূচি এবং নিরীক্ষা দল</w:t>
      </w:r>
    </w:p>
    <w:p w:rsidR="006938D6" w:rsidRP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IAU-এর দায়িত্ব হচ্ছে MDA’র অধীন সকল কার্যাবলী বিবেচনা করা এবং নিরীক্ষা সেবা প্রদান নিশ্চিতকরণ। অভ্যন্তরীণ নিরীক্ষার সীমিত সম্পদের সর্বোত্তম ব্যবহার নিশ্চিত কল্পে ঝুঁকি-ভিত্তিক নিরীক্ষা কৌশল প্রয়োগ করে ঝুঁকি মূল্যায়নের মাধ্যমে উচ্চ ঝুঁকির ক্ষেত্রগুলি সনাক্তকরত: নিরীক্ষার পরিধি নির্ধারণ করা হয়েছে । </w:t>
      </w:r>
    </w:p>
    <w:p w:rsid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‘ঝুঁকি মূল্যায়ন বিবেচনায় নিয়ে এবং অভ্যন্তরীণ নিরীক্ষার সম্ভাব্য সম্পদের উপর ভিত্তি করে টাকা ………বরাদ্দ করা হল । ইহা ছাড়া, IAU-এর ...জন জনবল ...মাসের …তারিখ থেকে</w:t>
      </w:r>
      <w:proofErr w:type="gramStart"/>
      <w:r w:rsidRPr="006938D6">
        <w:rPr>
          <w:rFonts w:ascii="Nirmala UI" w:eastAsia="Times New Roman" w:hAnsi="Nirmala UI" w:cs="Nirmala UI"/>
          <w:sz w:val="20"/>
          <w:szCs w:val="20"/>
        </w:rPr>
        <w:t>....তারিখ</w:t>
      </w:r>
      <w:proofErr w:type="gramEnd"/>
      <w:r w:rsidRPr="006938D6">
        <w:rPr>
          <w:rFonts w:ascii="Nirmala UI" w:eastAsia="Times New Roman" w:hAnsi="Nirmala UI" w:cs="Nirmala UI"/>
          <w:sz w:val="20"/>
          <w:szCs w:val="20"/>
        </w:rPr>
        <w:t xml:space="preserve"> পর্যন্ত মন্ত্রণালয়/অধিদপ্তরের এবং স্বতন্ত্র প্রকল্পসমূহ নিরীক্ষা করবে যা মোট সংখ্যার.......এর মধ্যে....... ।’</w:t>
      </w:r>
    </w:p>
    <w:p w:rsid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p>
    <w:p w:rsid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p>
    <w:p w:rsid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p>
    <w:p w:rsidR="006938D6" w:rsidRP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bookmarkStart w:id="7" w:name="_GoBack"/>
      <w:bookmarkEnd w:id="7"/>
    </w:p>
    <w:p w:rsidR="006938D6" w:rsidRP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p>
    <w:tbl>
      <w:tblPr>
        <w:tblW w:w="4094" w:type="pct"/>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8"/>
        <w:gridCol w:w="1522"/>
        <w:gridCol w:w="1092"/>
        <w:gridCol w:w="1094"/>
        <w:gridCol w:w="1046"/>
        <w:gridCol w:w="1389"/>
        <w:gridCol w:w="1255"/>
      </w:tblGrid>
      <w:tr w:rsidR="006938D6" w:rsidRPr="006938D6" w:rsidTr="001A612A">
        <w:trPr>
          <w:trHeight w:val="20"/>
        </w:trPr>
        <w:tc>
          <w:tcPr>
            <w:tcW w:w="360" w:type="pct"/>
            <w:vMerge w:val="restart"/>
            <w:shd w:val="clear" w:color="auto" w:fill="F2F2F2" w:themeFill="background1" w:themeFillShade="F2"/>
          </w:tcPr>
          <w:p w:rsidR="006938D6" w:rsidRPr="006938D6" w:rsidRDefault="006938D6" w:rsidP="001A612A">
            <w:pPr>
              <w:widowControl w:val="0"/>
              <w:autoSpaceDE w:val="0"/>
              <w:autoSpaceDN w:val="0"/>
              <w:spacing w:after="0" w:line="240" w:lineRule="auto"/>
              <w:rPr>
                <w:rFonts w:ascii="Nirmala UI" w:eastAsia="Arial MT" w:hAnsi="Nirmala UI" w:cs="Nirmala UI"/>
                <w:b/>
                <w:bCs/>
                <w:sz w:val="20"/>
                <w:szCs w:val="20"/>
              </w:rPr>
            </w:pPr>
          </w:p>
          <w:p w:rsidR="006938D6" w:rsidRPr="006938D6" w:rsidRDefault="006938D6" w:rsidP="001A612A">
            <w:pPr>
              <w:widowControl w:val="0"/>
              <w:autoSpaceDE w:val="0"/>
              <w:autoSpaceDN w:val="0"/>
              <w:spacing w:after="0" w:line="240" w:lineRule="auto"/>
              <w:jc w:val="center"/>
              <w:rPr>
                <w:rFonts w:ascii="Nirmala UI" w:eastAsia="Arial MT" w:hAnsi="Nirmala UI" w:cs="Nirmala UI"/>
                <w:b/>
                <w:bCs/>
                <w:sz w:val="20"/>
                <w:szCs w:val="20"/>
              </w:rPr>
            </w:pPr>
            <w:r w:rsidRPr="006938D6">
              <w:rPr>
                <w:rFonts w:ascii="Nirmala UI" w:eastAsia="Arial MT" w:hAnsi="Nirmala UI" w:cs="Nirmala UI"/>
                <w:b/>
                <w:bCs/>
                <w:sz w:val="20"/>
                <w:szCs w:val="20"/>
              </w:rPr>
              <w:t>নং</w:t>
            </w:r>
          </w:p>
        </w:tc>
        <w:tc>
          <w:tcPr>
            <w:tcW w:w="971" w:type="pct"/>
            <w:vMerge w:val="restart"/>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
                <w:bCs/>
                <w:sz w:val="20"/>
                <w:szCs w:val="20"/>
              </w:rPr>
            </w:pPr>
            <w:r w:rsidRPr="006938D6">
              <w:rPr>
                <w:rFonts w:ascii="Nirmala UI" w:eastAsia="Arial MT" w:hAnsi="Nirmala UI" w:cs="Nirmala UI"/>
                <w:b/>
                <w:bCs/>
                <w:sz w:val="20"/>
                <w:szCs w:val="20"/>
              </w:rPr>
              <w:t>অফিস/প্রকল্পের নাম</w:t>
            </w:r>
          </w:p>
        </w:tc>
        <w:tc>
          <w:tcPr>
            <w:tcW w:w="756" w:type="pct"/>
            <w:vMerge w:val="restart"/>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ind w:left="144" w:right="119"/>
              <w:jc w:val="center"/>
              <w:rPr>
                <w:rFonts w:ascii="Nirmala UI" w:eastAsia="Arial MT" w:hAnsi="Nirmala UI" w:cs="Nirmala UI"/>
                <w:b/>
                <w:bCs/>
                <w:sz w:val="20"/>
                <w:szCs w:val="20"/>
              </w:rPr>
            </w:pPr>
            <w:r w:rsidRPr="006938D6">
              <w:rPr>
                <w:rFonts w:ascii="Nirmala UI" w:eastAsia="Arial MT" w:hAnsi="Nirmala UI" w:cs="Nirmala UI"/>
                <w:b/>
                <w:bCs/>
                <w:sz w:val="20"/>
                <w:szCs w:val="20"/>
              </w:rPr>
              <w:t>ক্ষেত্র এবং নিরীক্ষার সুযোগ</w:t>
            </w:r>
          </w:p>
        </w:tc>
        <w:tc>
          <w:tcPr>
            <w:tcW w:w="1547" w:type="pct"/>
            <w:gridSpan w:val="2"/>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ind w:left="1310"/>
              <w:jc w:val="center"/>
              <w:rPr>
                <w:rFonts w:ascii="Nirmala UI" w:eastAsia="Arial MT" w:hAnsi="Nirmala UI" w:cs="Nirmala UI"/>
                <w:b/>
                <w:bCs/>
                <w:sz w:val="20"/>
                <w:szCs w:val="20"/>
              </w:rPr>
            </w:pPr>
            <w:r w:rsidRPr="006938D6">
              <w:rPr>
                <w:rFonts w:ascii="Nirmala UI" w:eastAsia="Arial MT" w:hAnsi="Nirmala UI" w:cs="Nirmala UI"/>
                <w:b/>
                <w:bCs/>
                <w:sz w:val="20"/>
                <w:szCs w:val="20"/>
              </w:rPr>
              <w:t>নিরীক্ষার সময়সুচী</w:t>
            </w:r>
          </w:p>
        </w:tc>
        <w:tc>
          <w:tcPr>
            <w:tcW w:w="1366" w:type="pct"/>
            <w:gridSpan w:val="2"/>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ind w:left="396"/>
              <w:jc w:val="center"/>
              <w:rPr>
                <w:rFonts w:ascii="Nirmala UI" w:eastAsia="Arial MT" w:hAnsi="Nirmala UI" w:cs="Nirmala UI"/>
                <w:b/>
                <w:bCs/>
                <w:sz w:val="20"/>
                <w:szCs w:val="20"/>
              </w:rPr>
            </w:pPr>
            <w:r w:rsidRPr="006938D6">
              <w:rPr>
                <w:rFonts w:ascii="Nirmala UI" w:eastAsia="Arial MT" w:hAnsi="Nirmala UI" w:cs="Nirmala UI"/>
                <w:b/>
                <w:bCs/>
                <w:sz w:val="20"/>
                <w:szCs w:val="20"/>
              </w:rPr>
              <w:t>নিরীক্ষা দল এবং (কাজের দিন)</w:t>
            </w:r>
          </w:p>
        </w:tc>
      </w:tr>
      <w:tr w:rsidR="006938D6" w:rsidRPr="006938D6" w:rsidTr="001A612A">
        <w:trPr>
          <w:trHeight w:val="20"/>
        </w:trPr>
        <w:tc>
          <w:tcPr>
            <w:tcW w:w="360" w:type="pct"/>
            <w:vMerge/>
            <w:tcBorders>
              <w:top w:val="nil"/>
            </w:tcBorders>
            <w:shd w:val="clear" w:color="auto" w:fill="F2F2F2" w:themeFill="background1" w:themeFillShade="F2"/>
          </w:tcPr>
          <w:p w:rsidR="006938D6" w:rsidRPr="006938D6" w:rsidRDefault="006938D6" w:rsidP="001A612A">
            <w:pPr>
              <w:widowControl w:val="0"/>
              <w:autoSpaceDE w:val="0"/>
              <w:autoSpaceDN w:val="0"/>
              <w:spacing w:after="0" w:line="240" w:lineRule="auto"/>
              <w:rPr>
                <w:rFonts w:ascii="Nirmala UI" w:eastAsia="Times New Roman" w:hAnsi="Nirmala UI" w:cs="Nirmala UI"/>
                <w:b/>
                <w:bCs/>
                <w:sz w:val="20"/>
                <w:szCs w:val="20"/>
              </w:rPr>
            </w:pPr>
          </w:p>
        </w:tc>
        <w:tc>
          <w:tcPr>
            <w:tcW w:w="971" w:type="pct"/>
            <w:vMerge/>
            <w:tcBorders>
              <w:top w:val="nil"/>
            </w:tcBorders>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jc w:val="center"/>
              <w:rPr>
                <w:rFonts w:ascii="Nirmala UI" w:eastAsia="Times New Roman" w:hAnsi="Nirmala UI" w:cs="Nirmala UI"/>
                <w:b/>
                <w:bCs/>
                <w:sz w:val="20"/>
                <w:szCs w:val="20"/>
              </w:rPr>
            </w:pPr>
          </w:p>
        </w:tc>
        <w:tc>
          <w:tcPr>
            <w:tcW w:w="756" w:type="pct"/>
            <w:vMerge/>
            <w:tcBorders>
              <w:top w:val="nil"/>
            </w:tcBorders>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jc w:val="center"/>
              <w:rPr>
                <w:rFonts w:ascii="Nirmala UI" w:eastAsia="Times New Roman" w:hAnsi="Nirmala UI" w:cs="Nirmala UI"/>
                <w:b/>
                <w:bCs/>
                <w:sz w:val="20"/>
                <w:szCs w:val="20"/>
              </w:rPr>
            </w:pPr>
          </w:p>
        </w:tc>
        <w:tc>
          <w:tcPr>
            <w:tcW w:w="791" w:type="pct"/>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ind w:left="155"/>
              <w:jc w:val="center"/>
              <w:rPr>
                <w:rFonts w:ascii="Nirmala UI" w:eastAsia="Arial MT" w:hAnsi="Nirmala UI" w:cs="Nirmala UI"/>
                <w:b/>
                <w:bCs/>
                <w:sz w:val="20"/>
                <w:szCs w:val="20"/>
              </w:rPr>
            </w:pPr>
            <w:r w:rsidRPr="006938D6">
              <w:rPr>
                <w:rFonts w:ascii="Nirmala UI" w:eastAsia="Arial MT" w:hAnsi="Nirmala UI" w:cs="Nirmala UI"/>
                <w:b/>
                <w:bCs/>
                <w:sz w:val="20"/>
                <w:szCs w:val="20"/>
              </w:rPr>
              <w:t>শুরুর তারিখ</w:t>
            </w:r>
          </w:p>
        </w:tc>
        <w:tc>
          <w:tcPr>
            <w:tcW w:w="756" w:type="pct"/>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ind w:left="148"/>
              <w:jc w:val="center"/>
              <w:rPr>
                <w:rFonts w:ascii="Nirmala UI" w:eastAsia="Arial MT" w:hAnsi="Nirmala UI" w:cs="Nirmala UI"/>
                <w:b/>
                <w:bCs/>
                <w:sz w:val="20"/>
                <w:szCs w:val="20"/>
              </w:rPr>
            </w:pPr>
            <w:r w:rsidRPr="006938D6">
              <w:rPr>
                <w:rFonts w:ascii="Nirmala UI" w:eastAsia="Arial MT" w:hAnsi="Nirmala UI" w:cs="Nirmala UI"/>
                <w:b/>
                <w:bCs/>
                <w:sz w:val="20"/>
                <w:szCs w:val="20"/>
              </w:rPr>
              <w:t>রিপোর্টিং তারিখ</w:t>
            </w:r>
          </w:p>
        </w:tc>
        <w:tc>
          <w:tcPr>
            <w:tcW w:w="682" w:type="pct"/>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ind w:left="566"/>
              <w:jc w:val="center"/>
              <w:rPr>
                <w:rFonts w:ascii="Nirmala UI" w:eastAsia="Arial MT" w:hAnsi="Nirmala UI" w:cs="Nirmala UI"/>
                <w:b/>
                <w:bCs/>
                <w:sz w:val="20"/>
                <w:szCs w:val="20"/>
              </w:rPr>
            </w:pPr>
            <w:r w:rsidRPr="006938D6">
              <w:rPr>
                <w:rFonts w:ascii="Nirmala UI" w:eastAsia="Arial MT" w:hAnsi="Nirmala UI" w:cs="Nirmala UI"/>
                <w:b/>
                <w:bCs/>
                <w:sz w:val="20"/>
                <w:szCs w:val="20"/>
              </w:rPr>
              <w:t>নিরীক্ষক</w:t>
            </w:r>
          </w:p>
        </w:tc>
        <w:tc>
          <w:tcPr>
            <w:tcW w:w="684" w:type="pct"/>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ind w:left="432"/>
              <w:jc w:val="center"/>
              <w:rPr>
                <w:rFonts w:ascii="Nirmala UI" w:eastAsia="Arial MT" w:hAnsi="Nirmala UI" w:cs="Nirmala UI"/>
                <w:b/>
                <w:bCs/>
                <w:sz w:val="20"/>
                <w:szCs w:val="20"/>
              </w:rPr>
            </w:pPr>
            <w:r w:rsidRPr="006938D6">
              <w:rPr>
                <w:rFonts w:ascii="Nirmala UI" w:eastAsia="Arial MT" w:hAnsi="Nirmala UI" w:cs="Nirmala UI"/>
                <w:b/>
                <w:bCs/>
                <w:sz w:val="20"/>
                <w:szCs w:val="20"/>
              </w:rPr>
              <w:t>নিরীক্ষক</w:t>
            </w:r>
          </w:p>
        </w:tc>
      </w:tr>
      <w:tr w:rsidR="006938D6" w:rsidRPr="006938D6" w:rsidTr="001A612A">
        <w:trPr>
          <w:trHeight w:val="20"/>
        </w:trPr>
        <w:tc>
          <w:tcPr>
            <w:tcW w:w="360" w:type="pct"/>
          </w:tcPr>
          <w:p w:rsidR="006938D6" w:rsidRPr="006938D6" w:rsidRDefault="006938D6" w:rsidP="001A612A">
            <w:pPr>
              <w:widowControl w:val="0"/>
              <w:autoSpaceDE w:val="0"/>
              <w:autoSpaceDN w:val="0"/>
              <w:spacing w:before="79" w:after="0" w:line="240" w:lineRule="auto"/>
              <w:jc w:val="center"/>
              <w:rPr>
                <w:rFonts w:ascii="Nirmala UI" w:eastAsia="Arial MT" w:hAnsi="Nirmala UI" w:cs="Nirmala UI"/>
                <w:sz w:val="20"/>
                <w:szCs w:val="20"/>
              </w:rPr>
            </w:pPr>
            <w:r w:rsidRPr="006938D6">
              <w:rPr>
                <w:rFonts w:ascii="Nirmala UI" w:eastAsia="Arial MT" w:hAnsi="Nirmala UI" w:cs="Nirmala UI"/>
                <w:sz w:val="20"/>
                <w:szCs w:val="20"/>
              </w:rPr>
              <w:t>১</w:t>
            </w:r>
          </w:p>
        </w:tc>
        <w:tc>
          <w:tcPr>
            <w:tcW w:w="971"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56"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91"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56"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682"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684"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r>
      <w:tr w:rsidR="006938D6" w:rsidRPr="006938D6" w:rsidTr="001A612A">
        <w:trPr>
          <w:trHeight w:val="20"/>
        </w:trPr>
        <w:tc>
          <w:tcPr>
            <w:tcW w:w="360" w:type="pct"/>
          </w:tcPr>
          <w:p w:rsidR="006938D6" w:rsidRPr="006938D6" w:rsidRDefault="006938D6" w:rsidP="001A612A">
            <w:pPr>
              <w:widowControl w:val="0"/>
              <w:autoSpaceDE w:val="0"/>
              <w:autoSpaceDN w:val="0"/>
              <w:spacing w:before="79" w:after="0" w:line="240" w:lineRule="auto"/>
              <w:jc w:val="center"/>
              <w:rPr>
                <w:rFonts w:ascii="Nirmala UI" w:eastAsia="Arial MT" w:hAnsi="Nirmala UI" w:cs="Nirmala UI"/>
                <w:sz w:val="20"/>
                <w:szCs w:val="20"/>
              </w:rPr>
            </w:pPr>
            <w:r w:rsidRPr="006938D6">
              <w:rPr>
                <w:rFonts w:ascii="Nirmala UI" w:eastAsia="Arial MT" w:hAnsi="Nirmala UI" w:cs="Nirmala UI"/>
                <w:sz w:val="20"/>
                <w:szCs w:val="20"/>
              </w:rPr>
              <w:t>২</w:t>
            </w:r>
          </w:p>
        </w:tc>
        <w:tc>
          <w:tcPr>
            <w:tcW w:w="971"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56"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91"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56"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682"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684"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r>
      <w:tr w:rsidR="006938D6" w:rsidRPr="006938D6" w:rsidTr="001A612A">
        <w:trPr>
          <w:trHeight w:val="20"/>
        </w:trPr>
        <w:tc>
          <w:tcPr>
            <w:tcW w:w="360" w:type="pct"/>
          </w:tcPr>
          <w:p w:rsidR="006938D6" w:rsidRPr="006938D6" w:rsidRDefault="006938D6" w:rsidP="001A612A">
            <w:pPr>
              <w:widowControl w:val="0"/>
              <w:autoSpaceDE w:val="0"/>
              <w:autoSpaceDN w:val="0"/>
              <w:spacing w:before="79" w:after="0" w:line="240" w:lineRule="auto"/>
              <w:jc w:val="center"/>
              <w:rPr>
                <w:rFonts w:ascii="Nirmala UI" w:eastAsia="Arial MT" w:hAnsi="Nirmala UI" w:cs="Nirmala UI"/>
                <w:sz w:val="20"/>
                <w:szCs w:val="20"/>
              </w:rPr>
            </w:pPr>
            <w:r w:rsidRPr="006938D6">
              <w:rPr>
                <w:rFonts w:ascii="Nirmala UI" w:eastAsia="Arial MT" w:hAnsi="Nirmala UI" w:cs="Nirmala UI"/>
                <w:sz w:val="20"/>
                <w:szCs w:val="20"/>
              </w:rPr>
              <w:t>৩</w:t>
            </w:r>
          </w:p>
        </w:tc>
        <w:tc>
          <w:tcPr>
            <w:tcW w:w="971"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56"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91"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56"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682"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684"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r>
      <w:tr w:rsidR="006938D6" w:rsidRPr="006938D6" w:rsidTr="001A612A">
        <w:trPr>
          <w:trHeight w:val="20"/>
        </w:trPr>
        <w:tc>
          <w:tcPr>
            <w:tcW w:w="360" w:type="pct"/>
          </w:tcPr>
          <w:p w:rsidR="006938D6" w:rsidRPr="006938D6" w:rsidRDefault="006938D6" w:rsidP="001A612A">
            <w:pPr>
              <w:widowControl w:val="0"/>
              <w:autoSpaceDE w:val="0"/>
              <w:autoSpaceDN w:val="0"/>
              <w:spacing w:before="79" w:after="0" w:line="240" w:lineRule="auto"/>
              <w:jc w:val="center"/>
              <w:rPr>
                <w:rFonts w:ascii="Nirmala UI" w:eastAsia="Arial MT" w:hAnsi="Nirmala UI" w:cs="Nirmala UI"/>
                <w:sz w:val="20"/>
                <w:szCs w:val="20"/>
              </w:rPr>
            </w:pPr>
            <w:r w:rsidRPr="006938D6">
              <w:rPr>
                <w:rFonts w:ascii="Nirmala UI" w:eastAsia="Arial MT" w:hAnsi="Nirmala UI" w:cs="Nirmala UI"/>
                <w:sz w:val="20"/>
                <w:szCs w:val="20"/>
              </w:rPr>
              <w:t>৪</w:t>
            </w:r>
          </w:p>
        </w:tc>
        <w:tc>
          <w:tcPr>
            <w:tcW w:w="971"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56"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91"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56"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682"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684"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r>
      <w:tr w:rsidR="006938D6" w:rsidRPr="006938D6" w:rsidTr="001A612A">
        <w:trPr>
          <w:trHeight w:val="20"/>
        </w:trPr>
        <w:tc>
          <w:tcPr>
            <w:tcW w:w="360" w:type="pct"/>
          </w:tcPr>
          <w:p w:rsidR="006938D6" w:rsidRPr="006938D6" w:rsidRDefault="006938D6" w:rsidP="001A612A">
            <w:pPr>
              <w:widowControl w:val="0"/>
              <w:autoSpaceDE w:val="0"/>
              <w:autoSpaceDN w:val="0"/>
              <w:spacing w:before="80" w:after="0" w:line="240" w:lineRule="auto"/>
              <w:jc w:val="center"/>
              <w:rPr>
                <w:rFonts w:ascii="Nirmala UI" w:eastAsia="Arial MT" w:hAnsi="Nirmala UI" w:cs="Nirmala UI"/>
                <w:sz w:val="20"/>
                <w:szCs w:val="20"/>
              </w:rPr>
            </w:pPr>
            <w:r w:rsidRPr="006938D6">
              <w:rPr>
                <w:rFonts w:ascii="Nirmala UI" w:eastAsia="Arial MT" w:hAnsi="Nirmala UI" w:cs="Nirmala UI"/>
                <w:sz w:val="20"/>
                <w:szCs w:val="20"/>
              </w:rPr>
              <w:t>৫</w:t>
            </w:r>
          </w:p>
        </w:tc>
        <w:tc>
          <w:tcPr>
            <w:tcW w:w="971"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56"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91"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756"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682"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c>
          <w:tcPr>
            <w:tcW w:w="684" w:type="pct"/>
          </w:tcPr>
          <w:p w:rsidR="006938D6" w:rsidRPr="006938D6" w:rsidRDefault="006938D6" w:rsidP="001A612A">
            <w:pPr>
              <w:widowControl w:val="0"/>
              <w:autoSpaceDE w:val="0"/>
              <w:autoSpaceDN w:val="0"/>
              <w:spacing w:after="0" w:line="240" w:lineRule="auto"/>
              <w:rPr>
                <w:rFonts w:ascii="Nirmala UI" w:eastAsia="Arial MT" w:hAnsi="Nirmala UI" w:cs="Nirmala UI"/>
                <w:sz w:val="20"/>
                <w:szCs w:val="20"/>
              </w:rPr>
            </w:pPr>
          </w:p>
        </w:tc>
      </w:tr>
    </w:tbl>
    <w:p w:rsidR="006938D6" w:rsidRPr="006938D6" w:rsidRDefault="006938D6" w:rsidP="006938D6">
      <w:pPr>
        <w:widowControl w:val="0"/>
        <w:shd w:val="clear" w:color="auto" w:fill="FFFFFF" w:themeFill="background1"/>
        <w:autoSpaceDE w:val="0"/>
        <w:autoSpaceDN w:val="0"/>
        <w:spacing w:before="124" w:after="0" w:line="240" w:lineRule="auto"/>
        <w:ind w:right="620"/>
        <w:jc w:val="both"/>
        <w:rPr>
          <w:rFonts w:ascii="Nirmala UI" w:eastAsia="Times New Roman" w:hAnsi="Nirmala UI" w:cs="Nirmala UI"/>
          <w:sz w:val="20"/>
          <w:szCs w:val="20"/>
        </w:rPr>
      </w:pPr>
    </w:p>
    <w:p w:rsidR="006938D6" w:rsidRPr="006938D6" w:rsidRDefault="006938D6" w:rsidP="006938D6">
      <w:pPr>
        <w:widowControl w:val="0"/>
        <w:shd w:val="clear" w:color="auto" w:fill="FFFFFF" w:themeFill="background1"/>
        <w:autoSpaceDE w:val="0"/>
        <w:autoSpaceDN w:val="0"/>
        <w:spacing w:before="124" w:after="0" w:line="240" w:lineRule="auto"/>
        <w:ind w:right="620"/>
        <w:jc w:val="both"/>
        <w:rPr>
          <w:rFonts w:ascii="Nirmala UI" w:eastAsia="Times New Roman" w:hAnsi="Nirmala UI" w:cs="Nirmala UI"/>
        </w:rPr>
      </w:pPr>
    </w:p>
    <w:p w:rsidR="006938D6" w:rsidRPr="006938D6" w:rsidRDefault="006938D6" w:rsidP="006938D6">
      <w:pPr>
        <w:widowControl w:val="0"/>
        <w:shd w:val="clear" w:color="auto" w:fill="FFFFFF" w:themeFill="background1"/>
        <w:autoSpaceDE w:val="0"/>
        <w:autoSpaceDN w:val="0"/>
        <w:spacing w:before="124"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একটি স্বতন্ত্র নিরীক্ষার জন্য অভ্যন্তরীণ নিরীক্ষা পরিকল্পনা প্রস্তুত করার সময় প্রতিটি নিরীক্ষার উদ্দেশ্য IAU পৃথকভাবে সংজ্ঞায়িত করবে । নিরীক্ষাধীন বিষয়ের প্রকৃতি এবং উদ্দেশ্য প্রতিটি নিরীক্ষার </w:t>
      </w:r>
      <w:r w:rsidRPr="006938D6">
        <w:rPr>
          <w:rFonts w:ascii="Nirmala UI" w:eastAsia="Arial MT" w:hAnsi="Nirmala UI" w:cs="Nirmala UI"/>
          <w:sz w:val="20"/>
          <w:szCs w:val="20"/>
        </w:rPr>
        <w:t>পরিধি</w:t>
      </w:r>
      <w:r w:rsidRPr="006938D6">
        <w:rPr>
          <w:rFonts w:ascii="Nirmala UI" w:eastAsia="Times New Roman" w:hAnsi="Nirmala UI" w:cs="Nirmala UI"/>
          <w:sz w:val="20"/>
          <w:szCs w:val="20"/>
        </w:rPr>
        <w:t xml:space="preserve"> নির্দেশ করবে । নিরীক্ষাধীন বিষয়ে কিছু নির্দিষ্ট কার্যক্রমের মধ্যে সীমাবদ্ধ থাকতে পারে, যেমন- বার্ষিক কর্ম পরিকল্পনা, বাজেট প্রণয়ন, নির্মাণ কাজের নকশা, পণ্য সংগ্রহ, কাজ ও সেবা (</w:t>
      </w:r>
      <w:r w:rsidRPr="006938D6">
        <w:rPr>
          <w:rFonts w:ascii="Nirmala UI" w:hAnsi="Nirmala UI" w:cs="Nirmala UI"/>
          <w:sz w:val="20"/>
          <w:szCs w:val="20"/>
        </w:rPr>
        <w:t>works and services</w:t>
      </w:r>
      <w:r w:rsidRPr="006938D6">
        <w:rPr>
          <w:rFonts w:ascii="Nirmala UI" w:eastAsia="Times New Roman" w:hAnsi="Nirmala UI" w:cs="Nirmala UI"/>
          <w:sz w:val="20"/>
          <w:szCs w:val="20"/>
        </w:rPr>
        <w:t xml:space="preserve">) এবং ত্রৈমাসিক আর্থিক প্রতিবেদন । এটি পুরো বছরের এক বা দুই চতুর্থাংশের  কার্যক্রমসমূহ বিবেচনা করতে পারে বা কিছু ক্ষেত্রে অভ্যন্তরীণ নিরীক্ষা একটি আর্থিক বছরের বাইরেও এর পরিধি বিস্তৃত করতে পারে । </w:t>
      </w:r>
    </w:p>
    <w:p w:rsidR="006938D6" w:rsidRPr="006938D6" w:rsidRDefault="006938D6" w:rsidP="006938D6">
      <w:pPr>
        <w:widowControl w:val="0"/>
        <w:autoSpaceDE w:val="0"/>
        <w:autoSpaceDN w:val="0"/>
        <w:spacing w:before="124" w:after="0" w:line="240" w:lineRule="auto"/>
        <w:ind w:left="2160" w:right="620"/>
        <w:jc w:val="both"/>
        <w:rPr>
          <w:rFonts w:ascii="Nirmala UI" w:eastAsia="Times New Roman" w:hAnsi="Nirmala UI" w:cs="Nirmala UI"/>
          <w:sz w:val="20"/>
          <w:szCs w:val="20"/>
          <w:cs/>
        </w:rPr>
      </w:pPr>
      <w:r w:rsidRPr="006938D6">
        <w:rPr>
          <w:rFonts w:ascii="Nirmala UI" w:eastAsia="Times New Roman" w:hAnsi="Nirmala UI" w:cs="Nirmala UI"/>
          <w:sz w:val="20"/>
          <w:szCs w:val="20"/>
        </w:rPr>
        <w:t>আর্থিক লেনদেনের ক্ষেত্রে একটি আর্থিক বছরের বাইরে নিরীক্ষার পরিধি স্বাভাবিক নয়, তবে প্রকল্প ব্যবস্থাপনা এবং ক্রয় সংক্রান্ত সমস্যা/ক্ষেত্রগুলিতে এটি হতে পারে । কোন মামলা জালিয়াতিমূলক এবং দুর্নীতির সাথে সম্পর্কিত হলে, অভ্যন্তরীণ নিরীক্ষাকে প্রয়োজন অনুসারে দীর্ঘ সময়ের জন্য পরিধি বাড়াতে হতে পারে । এইভাবে, নিরীক্ষার পরিধি প্রতিষ্ঠানের সার্বিক বিষয়ে অথবা অংশ (যেমন: একটি প্রোগ্রাম/প্রজেক্ট, একটি কার্যালয় ইত্যাদি) হিসেবে বিবেচিত হতে পারে। এভাবে নিরীক্ষার বিষয়বস্তু এবং অডিট কভারেজের সময়কালও বিবেচিত হতে পারে।</w:t>
      </w:r>
      <w:bookmarkStart w:id="8" w:name="_Hlk127797120"/>
    </w:p>
    <w:p w:rsidR="006938D6" w:rsidRPr="006938D6" w:rsidRDefault="006938D6" w:rsidP="006938D6">
      <w:pPr>
        <w:widowControl w:val="0"/>
        <w:shd w:val="clear" w:color="auto" w:fill="FFFFFF" w:themeFill="background1"/>
        <w:tabs>
          <w:tab w:val="left" w:pos="1256"/>
        </w:tabs>
        <w:autoSpaceDE w:val="0"/>
        <w:autoSpaceDN w:val="0"/>
        <w:spacing w:before="94" w:after="0" w:line="240" w:lineRule="auto"/>
        <w:rPr>
          <w:rFonts w:ascii="Nirmala UI" w:eastAsia="Times New Roman" w:hAnsi="Nirmala UI" w:cs="Nirmala UI"/>
          <w:b/>
          <w:sz w:val="20"/>
          <w:szCs w:val="20"/>
          <w:cs/>
          <w:lang w:bidi="bn-IN"/>
        </w:rPr>
      </w:pPr>
      <w:r w:rsidRPr="006938D6">
        <w:rPr>
          <w:rFonts w:ascii="Nirmala UI" w:eastAsia="Times New Roman" w:hAnsi="Nirmala UI" w:cs="Nirmala UI"/>
          <w:b/>
          <w:sz w:val="20"/>
          <w:szCs w:val="20"/>
          <w:cs/>
          <w:lang w:bidi="bn-IN"/>
        </w:rPr>
        <w:t xml:space="preserve">                      </w:t>
      </w:r>
    </w:p>
    <w:p w:rsidR="006938D6" w:rsidRPr="006938D6" w:rsidRDefault="006938D6" w:rsidP="006938D6">
      <w:pPr>
        <w:widowControl w:val="0"/>
        <w:shd w:val="clear" w:color="auto" w:fill="FFFFFF" w:themeFill="background1"/>
        <w:tabs>
          <w:tab w:val="left" w:pos="1256"/>
        </w:tabs>
        <w:autoSpaceDE w:val="0"/>
        <w:autoSpaceDN w:val="0"/>
        <w:spacing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cs/>
          <w:lang w:bidi="bn-IN"/>
        </w:rPr>
        <w:t xml:space="preserve">                      ৬</w:t>
      </w:r>
      <w:bookmarkEnd w:id="8"/>
      <w:r w:rsidRPr="006938D6">
        <w:rPr>
          <w:rFonts w:ascii="Nirmala UI" w:eastAsia="Times New Roman" w:hAnsi="Nirmala UI" w:cs="Nirmala UI"/>
          <w:b/>
          <w:sz w:val="20"/>
          <w:szCs w:val="20"/>
        </w:rPr>
        <w:t>.</w:t>
      </w:r>
      <w:r w:rsidRPr="006938D6">
        <w:rPr>
          <w:rFonts w:ascii="Nirmala UI" w:eastAsia="Times New Roman" w:hAnsi="Nirmala UI" w:cs="Nirmala UI"/>
          <w:bCs/>
          <w:sz w:val="20"/>
          <w:szCs w:val="20"/>
        </w:rPr>
        <w:t xml:space="preserve"> </w:t>
      </w:r>
      <w:r w:rsidRPr="006938D6">
        <w:rPr>
          <w:rFonts w:ascii="Nirmala UI" w:eastAsia="Times New Roman" w:hAnsi="Nirmala UI" w:cs="Nirmala UI"/>
          <w:b/>
          <w:sz w:val="20"/>
          <w:szCs w:val="20"/>
        </w:rPr>
        <w:tab/>
        <w:t xml:space="preserve">              নিরীক্ষা সম্পাদন পদ্ধতি</w:t>
      </w:r>
    </w:p>
    <w:p w:rsidR="006938D6" w:rsidRPr="006938D6" w:rsidRDefault="006938D6" w:rsidP="006938D6">
      <w:pPr>
        <w:widowControl w:val="0"/>
        <w:autoSpaceDE w:val="0"/>
        <w:autoSpaceDN w:val="0"/>
        <w:spacing w:after="0" w:line="240" w:lineRule="auto"/>
        <w:ind w:left="2160" w:right="620"/>
        <w:jc w:val="both"/>
        <w:rPr>
          <w:rFonts w:ascii="Nirmala UI" w:eastAsia="Times New Roman" w:hAnsi="Nirmala UI" w:cs="Nirmala UI"/>
          <w:color w:val="70AD47" w:themeColor="accent6"/>
          <w:sz w:val="20"/>
          <w:szCs w:val="20"/>
        </w:rPr>
      </w:pPr>
      <w:r w:rsidRPr="006938D6">
        <w:rPr>
          <w:rFonts w:ascii="Nirmala UI" w:eastAsia="Times New Roman" w:hAnsi="Nirmala UI" w:cs="Nirmala UI"/>
          <w:sz w:val="20"/>
          <w:szCs w:val="20"/>
        </w:rPr>
        <w:t xml:space="preserve">নিরীক্ষা সম্পাদনের পদ্ধতি কেমন হবে তা একটি বিশেষ নিরীক্ষার উদ্দেশ্য, নিরীক্ষা ক্ষেত্র এবং নিরীক্ষা পরিকল্পনা/প্রোগ্রামের উপর নির্ভর করে । তাই, নিরীক্ষা সম্পাদন পদ্ধতি নির্ধারণের জন্য প্রতিষ্ঠানের অভ্যন্তরীণ নিয়ন্ত্রণ ব্যবস্থা এবং ঝুঁকি ব্যবস্থাপনা পদ্ধতি মূল্যায়ন পূর্বক এবং প্রয়োজনে সারগর্ভ বা বিস্তারিত পরীক্ষা পরিচালনার প্রয়োজন হতে পারে। নিরীক্ষা পরিকল্পনা/প্রোগ্রামের উদ্দেশ্য পূরণের জন্য পরীক্ষা পরিচালনা, যাচাইকরণ, মূল্যায়ন, বিশ্লেষণ, মাঠ পরিদর্শন এবং পর্যবেক্ষণ অন্তর্ভুক্ত থাকতে হবে । নিরীক্ষা সম্পাদন একটি বিশেষ অভ্যন্তরীণ নিরীক্ষা পরিকল্পনা বাস্তবায়ন  করার অংশ </w:t>
      </w:r>
      <w:r w:rsidRPr="006938D6">
        <w:rPr>
          <w:rFonts w:ascii="Nirmala UI" w:eastAsia="Times New Roman" w:hAnsi="Nirmala UI" w:cs="Nirmala UI"/>
          <w:color w:val="70AD47" w:themeColor="accent6"/>
          <w:sz w:val="20"/>
          <w:szCs w:val="20"/>
        </w:rPr>
        <w:t xml:space="preserve">। </w:t>
      </w:r>
    </w:p>
    <w:p w:rsidR="006938D6" w:rsidRPr="006938D6" w:rsidRDefault="006938D6" w:rsidP="006938D6">
      <w:pPr>
        <w:widowControl w:val="0"/>
        <w:autoSpaceDE w:val="0"/>
        <w:autoSpaceDN w:val="0"/>
        <w:spacing w:before="124"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নিরীক্ষা পরিকল্পনা/প্রোগ্রামের উদ্দেশ্য অর্জনের জন্য পর্যাপ্ত তথ্য সনাক্তকরণ, বিশ্লেষণ, মূল্যায়ন এবং নথিভুক্তকরণ নিরীক্ষা সম্পাদন প্রক্রিয়ার কেন্দ্র হিসেবে বিবেচিত । সরেজমীন পর্যবেক্ষণ, সাক্ষাৎকার, প্রশ্নাবলী, নথি পর্যালোচনা, এবং তথ্য বিশ্লেষণ নিরীক্ষা সম্পাদন প্রক্রিয়ায় ব্যবহৃত অন্যতম প্রধান কৌশল ।</w:t>
      </w:r>
    </w:p>
    <w:p w:rsidR="006938D6" w:rsidRPr="006938D6" w:rsidRDefault="006938D6" w:rsidP="006938D6">
      <w:pPr>
        <w:widowControl w:val="0"/>
        <w:autoSpaceDE w:val="0"/>
        <w:autoSpaceDN w:val="0"/>
        <w:spacing w:before="124" w:after="0" w:line="240" w:lineRule="auto"/>
        <w:ind w:left="2160" w:right="620"/>
        <w:jc w:val="both"/>
        <w:rPr>
          <w:rFonts w:ascii="Nirmala UI" w:eastAsia="Times New Roman" w:hAnsi="Nirmala UI" w:cs="Nirmala UI"/>
          <w:sz w:val="20"/>
          <w:szCs w:val="20"/>
        </w:rPr>
      </w:pPr>
    </w:p>
    <w:p w:rsidR="006938D6" w:rsidRPr="006938D6" w:rsidRDefault="006938D6" w:rsidP="006938D6">
      <w:pPr>
        <w:widowControl w:val="0"/>
        <w:autoSpaceDE w:val="0"/>
        <w:autoSpaceDN w:val="0"/>
        <w:spacing w:before="124" w:after="0" w:line="240" w:lineRule="auto"/>
        <w:ind w:left="2160" w:right="620"/>
        <w:jc w:val="both"/>
        <w:rPr>
          <w:rFonts w:ascii="Nirmala UI" w:eastAsia="Times New Roman" w:hAnsi="Nirmala UI" w:cs="Nirmala UI"/>
          <w:sz w:val="20"/>
          <w:szCs w:val="20"/>
        </w:rPr>
      </w:pPr>
    </w:p>
    <w:p w:rsidR="006938D6" w:rsidRPr="006938D6" w:rsidRDefault="006938D6" w:rsidP="006938D6">
      <w:pPr>
        <w:widowControl w:val="0"/>
        <w:tabs>
          <w:tab w:val="left" w:pos="1080"/>
          <w:tab w:val="left" w:pos="1256"/>
        </w:tabs>
        <w:autoSpaceDE w:val="0"/>
        <w:autoSpaceDN w:val="0"/>
        <w:spacing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cs/>
        </w:rPr>
        <w:tab/>
        <w:t xml:space="preserve"> </w:t>
      </w:r>
      <w:r w:rsidRPr="006938D6">
        <w:rPr>
          <w:rFonts w:ascii="Nirmala UI" w:eastAsia="Times New Roman" w:hAnsi="Nirmala UI" w:cs="Nirmala UI"/>
          <w:b/>
          <w:sz w:val="20"/>
          <w:szCs w:val="20"/>
          <w:cs/>
          <w:lang w:bidi="bn-IN"/>
        </w:rPr>
        <w:t>৭</w:t>
      </w:r>
      <w:r w:rsidRPr="006938D6">
        <w:rPr>
          <w:rFonts w:ascii="Nirmala UI" w:eastAsia="Times New Roman" w:hAnsi="Nirmala UI" w:cs="Nirmala UI"/>
          <w:b/>
          <w:sz w:val="20"/>
          <w:szCs w:val="20"/>
        </w:rPr>
        <w:t>.</w:t>
      </w:r>
      <w:r w:rsidRPr="006938D6">
        <w:rPr>
          <w:rFonts w:ascii="Nirmala UI" w:eastAsia="Times New Roman" w:hAnsi="Nirmala UI" w:cs="Nirmala UI"/>
          <w:b/>
          <w:sz w:val="20"/>
          <w:szCs w:val="20"/>
        </w:rPr>
        <w:tab/>
      </w:r>
      <w:r w:rsidRPr="006938D6">
        <w:rPr>
          <w:rFonts w:ascii="Nirmala UI" w:eastAsia="Times New Roman" w:hAnsi="Nirmala UI" w:cs="Nirmala UI"/>
          <w:b/>
          <w:sz w:val="20"/>
          <w:szCs w:val="20"/>
          <w:cs/>
        </w:rPr>
        <w:tab/>
      </w:r>
      <w:r w:rsidRPr="006938D6">
        <w:rPr>
          <w:rFonts w:ascii="Nirmala UI" w:eastAsia="Times New Roman" w:hAnsi="Nirmala UI" w:cs="Nirmala UI"/>
          <w:b/>
          <w:sz w:val="20"/>
          <w:szCs w:val="20"/>
        </w:rPr>
        <w:t>বিশেষজ্ঞদের আউটসোর্সিং/কো-সোর্সিং</w:t>
      </w:r>
    </w:p>
    <w:p w:rsidR="006938D6" w:rsidRP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প্রযুক্তি ক্ষেত্রে IAU এর দক্ষ জনবলের অভাব রয়েছে । নিম্নলিখিত নিরীক্ষার জন্য আউটসোর্সিং/কো-সোর্সিং বিশেষজ্ঞের পরিষেবা প্রয়োজন হবে এবং এজন্য টাকা ……………. খরচ হবে । আউটসোর্সিং/কো-সোর্সিং এর মাধ্যমে প্রাপ্ত বিশেষজ্ঞ শুধুমাত্র একটি বিশেষ নিরীক্ষার উদ্দেশ্য অর্জনে সহায়তা করবে না বরং সংশ্লিষ্ট প্রযুক্তি ক্ষেত্রে IAU-এর দক্ষতাও বাড়াবে। IAU অবশ্যই MDA’র মধ্যে কর্মরত বিশেষজ্ঞদের নিরীক্ষার কাজে লাগানোর পরিকল্পনা করবেন । </w:t>
      </w:r>
    </w:p>
    <w:p w:rsidR="006938D6" w:rsidRPr="006938D6" w:rsidRDefault="006938D6" w:rsidP="006938D6">
      <w:pPr>
        <w:widowControl w:val="0"/>
        <w:autoSpaceDE w:val="0"/>
        <w:autoSpaceDN w:val="0"/>
        <w:spacing w:after="0"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 </w:t>
      </w:r>
    </w:p>
    <w:tbl>
      <w:tblPr>
        <w:tblW w:w="4100" w:type="pct"/>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6"/>
        <w:gridCol w:w="2590"/>
        <w:gridCol w:w="2257"/>
        <w:gridCol w:w="2214"/>
      </w:tblGrid>
      <w:tr w:rsidR="006938D6" w:rsidRPr="006938D6" w:rsidTr="001A612A">
        <w:trPr>
          <w:trHeight w:val="319"/>
        </w:trPr>
        <w:tc>
          <w:tcPr>
            <w:tcW w:w="395" w:type="pct"/>
            <w:vMerge w:val="restart"/>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ind w:left="177"/>
              <w:rPr>
                <w:rFonts w:ascii="Nirmala UI" w:eastAsia="Arial MT" w:hAnsi="Nirmala UI" w:cs="Nirmala UI"/>
                <w:b/>
                <w:sz w:val="20"/>
                <w:szCs w:val="20"/>
              </w:rPr>
            </w:pPr>
            <w:r w:rsidRPr="006938D6">
              <w:rPr>
                <w:rFonts w:ascii="Nirmala UI" w:eastAsia="Arial MT" w:hAnsi="Nirmala UI" w:cs="Nirmala UI"/>
                <w:bCs/>
                <w:sz w:val="20"/>
                <w:szCs w:val="20"/>
              </w:rPr>
              <w:t xml:space="preserve">     </w:t>
            </w:r>
            <w:r w:rsidRPr="006938D6">
              <w:rPr>
                <w:rFonts w:ascii="Nirmala UI" w:eastAsia="Arial MT" w:hAnsi="Nirmala UI" w:cs="Nirmala UI"/>
                <w:b/>
                <w:sz w:val="20"/>
                <w:szCs w:val="20"/>
              </w:rPr>
              <w:t>নং</w:t>
            </w:r>
          </w:p>
        </w:tc>
        <w:tc>
          <w:tcPr>
            <w:tcW w:w="1689" w:type="pct"/>
            <w:vMerge w:val="restart"/>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ind w:right="223"/>
              <w:jc w:val="center"/>
              <w:rPr>
                <w:rFonts w:ascii="Nirmala UI" w:eastAsia="Arial MT" w:hAnsi="Nirmala UI" w:cs="Nirmala UI"/>
                <w:b/>
                <w:bCs/>
                <w:sz w:val="20"/>
                <w:szCs w:val="20"/>
              </w:rPr>
            </w:pPr>
            <w:r w:rsidRPr="006938D6">
              <w:rPr>
                <w:rFonts w:ascii="Nirmala UI" w:eastAsia="Arial MT" w:hAnsi="Nirmala UI" w:cs="Nirmala UI"/>
                <w:b/>
                <w:bCs/>
                <w:sz w:val="20"/>
                <w:szCs w:val="20"/>
              </w:rPr>
              <w:t>অফিস/প্রকল্প</w:t>
            </w:r>
          </w:p>
        </w:tc>
        <w:tc>
          <w:tcPr>
            <w:tcW w:w="1472" w:type="pct"/>
            <w:vMerge w:val="restart"/>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
                <w:sz w:val="20"/>
                <w:szCs w:val="20"/>
              </w:rPr>
            </w:pPr>
            <w:r w:rsidRPr="006938D6">
              <w:rPr>
                <w:rFonts w:ascii="Nirmala UI" w:eastAsia="Arial MT" w:hAnsi="Nirmala UI" w:cs="Nirmala UI"/>
                <w:b/>
                <w:sz w:val="20"/>
                <w:szCs w:val="20"/>
              </w:rPr>
              <w:t>সমস্যা/</w:t>
            </w:r>
            <w:r w:rsidRPr="006938D6">
              <w:rPr>
                <w:rFonts w:ascii="Nirmala UI" w:eastAsia="Arial MT" w:hAnsi="Nirmala UI" w:cs="Nirmala UI"/>
                <w:b/>
                <w:sz w:val="20"/>
                <w:szCs w:val="20"/>
                <w:cs/>
                <w:lang w:bidi="bn-IN"/>
              </w:rPr>
              <w:t xml:space="preserve"> </w:t>
            </w:r>
            <w:r w:rsidRPr="006938D6">
              <w:rPr>
                <w:rFonts w:ascii="Nirmala UI" w:eastAsia="Arial MT" w:hAnsi="Nirmala UI" w:cs="Nirmala UI"/>
                <w:b/>
                <w:sz w:val="20"/>
                <w:szCs w:val="20"/>
              </w:rPr>
              <w:t>ক্ষেত্র</w:t>
            </w:r>
          </w:p>
        </w:tc>
        <w:tc>
          <w:tcPr>
            <w:tcW w:w="1444" w:type="pct"/>
            <w:vMerge w:val="restart"/>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
                <w:sz w:val="20"/>
                <w:szCs w:val="20"/>
              </w:rPr>
            </w:pPr>
            <w:r w:rsidRPr="006938D6">
              <w:rPr>
                <w:rFonts w:ascii="Nirmala UI" w:eastAsia="Arial MT" w:hAnsi="Nirmala UI" w:cs="Nirmala UI"/>
                <w:b/>
                <w:sz w:val="20"/>
                <w:szCs w:val="20"/>
              </w:rPr>
              <w:t>বিশেষজ্ঞদের ধরনের প্রয়োজন</w:t>
            </w:r>
          </w:p>
        </w:tc>
      </w:tr>
      <w:tr w:rsidR="006938D6" w:rsidRPr="006938D6" w:rsidTr="001A612A">
        <w:trPr>
          <w:trHeight w:val="319"/>
        </w:trPr>
        <w:tc>
          <w:tcPr>
            <w:tcW w:w="395" w:type="pct"/>
            <w:vMerge/>
            <w:tcBorders>
              <w:top w:val="nil"/>
            </w:tcBorders>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jc w:val="center"/>
              <w:rPr>
                <w:rFonts w:ascii="Nirmala UI" w:eastAsia="Times New Roman" w:hAnsi="Nirmala UI" w:cs="Nirmala UI"/>
                <w:bCs/>
                <w:sz w:val="20"/>
                <w:szCs w:val="20"/>
              </w:rPr>
            </w:pPr>
          </w:p>
        </w:tc>
        <w:tc>
          <w:tcPr>
            <w:tcW w:w="1689" w:type="pct"/>
            <w:vMerge/>
            <w:tcBorders>
              <w:top w:val="nil"/>
            </w:tcBorders>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jc w:val="center"/>
              <w:rPr>
                <w:rFonts w:ascii="Nirmala UI" w:eastAsia="Times New Roman" w:hAnsi="Nirmala UI" w:cs="Nirmala UI"/>
                <w:bCs/>
                <w:sz w:val="20"/>
                <w:szCs w:val="20"/>
              </w:rPr>
            </w:pPr>
          </w:p>
        </w:tc>
        <w:tc>
          <w:tcPr>
            <w:tcW w:w="1472" w:type="pct"/>
            <w:vMerge/>
            <w:tcBorders>
              <w:top w:val="nil"/>
            </w:tcBorders>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jc w:val="center"/>
              <w:rPr>
                <w:rFonts w:ascii="Nirmala UI" w:eastAsia="Times New Roman" w:hAnsi="Nirmala UI" w:cs="Nirmala UI"/>
                <w:bCs/>
                <w:sz w:val="20"/>
                <w:szCs w:val="20"/>
              </w:rPr>
            </w:pPr>
          </w:p>
        </w:tc>
        <w:tc>
          <w:tcPr>
            <w:tcW w:w="1444" w:type="pct"/>
            <w:vMerge/>
            <w:tcBorders>
              <w:top w:val="nil"/>
            </w:tcBorders>
            <w:shd w:val="clear" w:color="auto" w:fill="F2F2F2" w:themeFill="background1" w:themeFillShade="F2"/>
            <w:vAlign w:val="center"/>
          </w:tcPr>
          <w:p w:rsidR="006938D6" w:rsidRPr="006938D6" w:rsidRDefault="006938D6" w:rsidP="001A612A">
            <w:pPr>
              <w:widowControl w:val="0"/>
              <w:autoSpaceDE w:val="0"/>
              <w:autoSpaceDN w:val="0"/>
              <w:spacing w:after="0" w:line="240" w:lineRule="auto"/>
              <w:jc w:val="center"/>
              <w:rPr>
                <w:rFonts w:ascii="Nirmala UI" w:eastAsia="Times New Roman" w:hAnsi="Nirmala UI" w:cs="Nirmala UI"/>
                <w:bCs/>
                <w:sz w:val="20"/>
                <w:szCs w:val="20"/>
              </w:rPr>
            </w:pPr>
          </w:p>
        </w:tc>
      </w:tr>
      <w:tr w:rsidR="006938D6" w:rsidRPr="006938D6" w:rsidTr="001A612A">
        <w:trPr>
          <w:trHeight w:val="20"/>
        </w:trPr>
        <w:tc>
          <w:tcPr>
            <w:tcW w:w="395" w:type="pct"/>
            <w:vAlign w:val="center"/>
          </w:tcPr>
          <w:p w:rsidR="006938D6" w:rsidRPr="006938D6" w:rsidRDefault="006938D6" w:rsidP="001A612A">
            <w:pPr>
              <w:widowControl w:val="0"/>
              <w:autoSpaceDE w:val="0"/>
              <w:autoSpaceDN w:val="0"/>
              <w:spacing w:after="0" w:line="240" w:lineRule="auto"/>
              <w:ind w:right="40"/>
              <w:jc w:val="center"/>
              <w:rPr>
                <w:rFonts w:ascii="Nirmala UI" w:eastAsia="Arial MT" w:hAnsi="Nirmala UI" w:cs="Nirmala UI"/>
                <w:bCs/>
                <w:sz w:val="20"/>
                <w:szCs w:val="20"/>
              </w:rPr>
            </w:pPr>
            <w:r w:rsidRPr="006938D6">
              <w:rPr>
                <w:rFonts w:ascii="Nirmala UI" w:eastAsia="Arial MT" w:hAnsi="Nirmala UI" w:cs="Nirmala UI"/>
                <w:bCs/>
                <w:sz w:val="20"/>
                <w:szCs w:val="20"/>
              </w:rPr>
              <w:t>১</w:t>
            </w:r>
          </w:p>
        </w:tc>
        <w:tc>
          <w:tcPr>
            <w:tcW w:w="1689"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c>
          <w:tcPr>
            <w:tcW w:w="1472"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c>
          <w:tcPr>
            <w:tcW w:w="1444"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r>
      <w:tr w:rsidR="006938D6" w:rsidRPr="006938D6" w:rsidTr="001A612A">
        <w:trPr>
          <w:trHeight w:val="20"/>
        </w:trPr>
        <w:tc>
          <w:tcPr>
            <w:tcW w:w="395" w:type="pct"/>
            <w:vAlign w:val="center"/>
          </w:tcPr>
          <w:p w:rsidR="006938D6" w:rsidRPr="006938D6" w:rsidRDefault="006938D6" w:rsidP="001A612A">
            <w:pPr>
              <w:widowControl w:val="0"/>
              <w:autoSpaceDE w:val="0"/>
              <w:autoSpaceDN w:val="0"/>
              <w:spacing w:after="0" w:line="240" w:lineRule="auto"/>
              <w:ind w:right="40"/>
              <w:jc w:val="center"/>
              <w:rPr>
                <w:rFonts w:ascii="Nirmala UI" w:eastAsia="Arial MT" w:hAnsi="Nirmala UI" w:cs="Nirmala UI"/>
                <w:bCs/>
                <w:sz w:val="20"/>
                <w:szCs w:val="20"/>
              </w:rPr>
            </w:pPr>
            <w:r w:rsidRPr="006938D6">
              <w:rPr>
                <w:rFonts w:ascii="Nirmala UI" w:eastAsia="Arial MT" w:hAnsi="Nirmala UI" w:cs="Nirmala UI"/>
                <w:bCs/>
                <w:sz w:val="20"/>
                <w:szCs w:val="20"/>
              </w:rPr>
              <w:t>২</w:t>
            </w:r>
          </w:p>
        </w:tc>
        <w:tc>
          <w:tcPr>
            <w:tcW w:w="1689"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c>
          <w:tcPr>
            <w:tcW w:w="1472"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c>
          <w:tcPr>
            <w:tcW w:w="1444"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r>
      <w:tr w:rsidR="006938D6" w:rsidRPr="006938D6" w:rsidTr="001A612A">
        <w:trPr>
          <w:trHeight w:val="64"/>
        </w:trPr>
        <w:tc>
          <w:tcPr>
            <w:tcW w:w="395" w:type="pct"/>
            <w:vAlign w:val="center"/>
          </w:tcPr>
          <w:p w:rsidR="006938D6" w:rsidRPr="006938D6" w:rsidRDefault="006938D6" w:rsidP="001A612A">
            <w:pPr>
              <w:widowControl w:val="0"/>
              <w:autoSpaceDE w:val="0"/>
              <w:autoSpaceDN w:val="0"/>
              <w:spacing w:after="0" w:line="240" w:lineRule="auto"/>
              <w:ind w:right="40"/>
              <w:jc w:val="center"/>
              <w:rPr>
                <w:rFonts w:ascii="Nirmala UI" w:eastAsia="Arial MT" w:hAnsi="Nirmala UI" w:cs="Nirmala UI"/>
                <w:bCs/>
                <w:sz w:val="20"/>
                <w:szCs w:val="20"/>
              </w:rPr>
            </w:pPr>
            <w:r w:rsidRPr="006938D6">
              <w:rPr>
                <w:rFonts w:ascii="Nirmala UI" w:eastAsia="Arial MT" w:hAnsi="Nirmala UI" w:cs="Nirmala UI"/>
                <w:bCs/>
                <w:sz w:val="20"/>
                <w:szCs w:val="20"/>
              </w:rPr>
              <w:t>৩</w:t>
            </w:r>
          </w:p>
        </w:tc>
        <w:tc>
          <w:tcPr>
            <w:tcW w:w="1689"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c>
          <w:tcPr>
            <w:tcW w:w="1472"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c>
          <w:tcPr>
            <w:tcW w:w="1444"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r>
      <w:tr w:rsidR="006938D6" w:rsidRPr="006938D6" w:rsidTr="001A612A">
        <w:trPr>
          <w:trHeight w:val="64"/>
        </w:trPr>
        <w:tc>
          <w:tcPr>
            <w:tcW w:w="395" w:type="pct"/>
            <w:vAlign w:val="center"/>
          </w:tcPr>
          <w:p w:rsidR="006938D6" w:rsidRPr="006938D6" w:rsidRDefault="006938D6" w:rsidP="001A612A">
            <w:pPr>
              <w:widowControl w:val="0"/>
              <w:autoSpaceDE w:val="0"/>
              <w:autoSpaceDN w:val="0"/>
              <w:spacing w:after="0" w:line="240" w:lineRule="auto"/>
              <w:ind w:right="40"/>
              <w:jc w:val="center"/>
              <w:rPr>
                <w:rFonts w:ascii="Nirmala UI" w:eastAsia="Arial MT" w:hAnsi="Nirmala UI" w:cs="Nirmala UI"/>
                <w:bCs/>
                <w:sz w:val="20"/>
                <w:szCs w:val="20"/>
              </w:rPr>
            </w:pPr>
          </w:p>
        </w:tc>
        <w:tc>
          <w:tcPr>
            <w:tcW w:w="1689"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c>
          <w:tcPr>
            <w:tcW w:w="1472"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c>
          <w:tcPr>
            <w:tcW w:w="1444" w:type="pct"/>
            <w:vAlign w:val="center"/>
          </w:tcPr>
          <w:p w:rsidR="006938D6" w:rsidRPr="006938D6" w:rsidRDefault="006938D6" w:rsidP="001A612A">
            <w:pPr>
              <w:widowControl w:val="0"/>
              <w:autoSpaceDE w:val="0"/>
              <w:autoSpaceDN w:val="0"/>
              <w:spacing w:after="0" w:line="240" w:lineRule="auto"/>
              <w:jc w:val="center"/>
              <w:rPr>
                <w:rFonts w:ascii="Nirmala UI" w:eastAsia="Arial MT" w:hAnsi="Nirmala UI" w:cs="Nirmala UI"/>
                <w:bCs/>
                <w:sz w:val="20"/>
                <w:szCs w:val="20"/>
              </w:rPr>
            </w:pPr>
          </w:p>
        </w:tc>
      </w:tr>
    </w:tbl>
    <w:p w:rsidR="006938D6" w:rsidRPr="006938D6" w:rsidRDefault="006938D6" w:rsidP="006938D6">
      <w:pPr>
        <w:widowControl w:val="0"/>
        <w:shd w:val="clear" w:color="auto" w:fill="FFFFFF" w:themeFill="background1"/>
        <w:tabs>
          <w:tab w:val="left" w:pos="1256"/>
        </w:tabs>
        <w:autoSpaceDE w:val="0"/>
        <w:autoSpaceDN w:val="0"/>
        <w:spacing w:before="94" w:after="0" w:line="240" w:lineRule="auto"/>
        <w:rPr>
          <w:rFonts w:ascii="Nirmala UI" w:eastAsia="Times New Roman" w:hAnsi="Nirmala UI" w:cs="Nirmala UI"/>
          <w:b/>
          <w:sz w:val="20"/>
          <w:szCs w:val="20"/>
          <w:cs/>
          <w:lang w:bidi="bn-IN"/>
        </w:rPr>
      </w:pPr>
      <w:r w:rsidRPr="006938D6">
        <w:rPr>
          <w:rFonts w:ascii="Nirmala UI" w:eastAsia="Times New Roman" w:hAnsi="Nirmala UI" w:cs="Nirmala UI"/>
          <w:b/>
          <w:sz w:val="20"/>
          <w:szCs w:val="20"/>
          <w:cs/>
          <w:lang w:bidi="bn-IN"/>
        </w:rPr>
        <w:t xml:space="preserve">                       </w:t>
      </w:r>
    </w:p>
    <w:p w:rsidR="006938D6" w:rsidRPr="006938D6" w:rsidRDefault="006938D6" w:rsidP="006938D6">
      <w:pPr>
        <w:widowControl w:val="0"/>
        <w:shd w:val="clear" w:color="auto" w:fill="FFFFFF" w:themeFill="background1"/>
        <w:tabs>
          <w:tab w:val="left" w:pos="1256"/>
        </w:tabs>
        <w:autoSpaceDE w:val="0"/>
        <w:autoSpaceDN w:val="0"/>
        <w:spacing w:after="0" w:line="240" w:lineRule="auto"/>
        <w:ind w:left="2160" w:hanging="900"/>
        <w:rPr>
          <w:rFonts w:ascii="Nirmala UI" w:eastAsia="Times New Roman" w:hAnsi="Nirmala UI" w:cs="Nirmala UI"/>
          <w:b/>
          <w:sz w:val="20"/>
          <w:szCs w:val="20"/>
        </w:rPr>
      </w:pPr>
      <w:r w:rsidRPr="006938D6">
        <w:rPr>
          <w:rFonts w:ascii="Nirmala UI" w:eastAsia="Times New Roman" w:hAnsi="Nirmala UI" w:cs="Nirmala UI"/>
          <w:b/>
          <w:sz w:val="20"/>
          <w:szCs w:val="20"/>
          <w:cs/>
          <w:lang w:bidi="bn-IN"/>
        </w:rPr>
        <w:t xml:space="preserve"> ৮</w:t>
      </w:r>
      <w:r w:rsidRPr="006938D6">
        <w:rPr>
          <w:rFonts w:ascii="Nirmala UI" w:eastAsia="Times New Roman" w:hAnsi="Nirmala UI" w:cs="Nirmala UI"/>
          <w:b/>
          <w:sz w:val="20"/>
          <w:szCs w:val="20"/>
        </w:rPr>
        <w:t>.</w:t>
      </w:r>
      <w:r w:rsidRPr="006938D6">
        <w:rPr>
          <w:rFonts w:ascii="Nirmala UI" w:eastAsia="Times New Roman" w:hAnsi="Nirmala UI" w:cs="Nirmala UI"/>
          <w:b/>
          <w:sz w:val="20"/>
          <w:szCs w:val="20"/>
        </w:rPr>
        <w:tab/>
        <w:t xml:space="preserve">ঝুঁকি মূল্যায়ন এবং বার্ষিক নিরীক্ষা পরিকল্পনা </w:t>
      </w:r>
    </w:p>
    <w:p w:rsidR="006938D6" w:rsidRPr="006938D6" w:rsidRDefault="006938D6" w:rsidP="006938D6">
      <w:pPr>
        <w:widowControl w:val="0"/>
        <w:tabs>
          <w:tab w:val="left" w:pos="14220"/>
        </w:tabs>
        <w:autoSpaceDE w:val="0"/>
        <w:autoSpaceDN w:val="0"/>
        <w:spacing w:after="0" w:line="240" w:lineRule="auto"/>
        <w:ind w:left="2160" w:right="530"/>
        <w:jc w:val="both"/>
        <w:rPr>
          <w:rFonts w:ascii="Nirmala UI" w:eastAsia="Times New Roman" w:hAnsi="Nirmala UI" w:cs="Nirmala UI"/>
          <w:sz w:val="20"/>
          <w:szCs w:val="20"/>
        </w:rPr>
      </w:pPr>
      <w:r w:rsidRPr="006938D6">
        <w:rPr>
          <w:rFonts w:ascii="Nirmala UI" w:eastAsia="Times New Roman" w:hAnsi="Nirmala UI" w:cs="Nirmala UI"/>
          <w:sz w:val="20"/>
          <w:szCs w:val="20"/>
        </w:rPr>
        <w:t>IAU এর প্রধান বার্ষিক কাজ হল- ঝুঁকি মূল্যায়ন এবং ঝুঁকি ভিত্তিক বার্ষিক নিরীক্ষা পরিকল্পনা প্রণয়ন করা। বার্ষিক নিরীক্ষা পরিকল্পনা প্রণয়ন প্রক্রিয়াটি জুলাই এবং আগস্ট দুই মাস ব্যাপী চলবে । এটি একটি ব্যাপক পরামর্শমূলক মূল্যায়ন অনুশীলন; আলোচনা/সভা/প্রশ্নমালা/ওয়ার্কশপ ইত্যাদির মাধ্যমে সিনিয়র ম্যানেজমেন্ট এবং নিরীক্ষিত প্রতিষ্ঠানের ঊধ্বর্তন কর্তৃপক্ষ, প্রকল্প এবং অপারেশনাল ব্যবস্থাপক, অন্যান্য কর্মকর্তা, উন্নয়ন অংশীদার, এবং অন্যান্য সুবিধাভোগীদের নিকট হতে ঝুঁকি বিষয়ে তথ্য সংগ্রহ করে ব্যবহার করা হয়। IAU প্রাপ্ত সমস্ত তথ্য প্রক্রিয়াকরণ করে তার সাথে নিজস্ব রেকর্ড পর্যালোচনা করবে, এবং ঝুঁকি মূল্যায়ন পূর্বক পেশাদারীত্ব কাজে লাগিয়ে নিরীক্ষা ক্ষেত্র চূড়ান্ত করতঃ অভ্যন্তরীণ নিরীক্ষার জন্য প্রাপ্ত মানব সম্পদ এবং কার্যদিবস অনুযায়ী নিরীক্ষা সম্পাদন করবে ।</w:t>
      </w:r>
    </w:p>
    <w:p w:rsidR="006938D6" w:rsidRPr="006938D6" w:rsidRDefault="006938D6" w:rsidP="006938D6">
      <w:pPr>
        <w:widowControl w:val="0"/>
        <w:autoSpaceDE w:val="0"/>
        <w:autoSpaceDN w:val="0"/>
        <w:spacing w:after="0" w:line="240" w:lineRule="auto"/>
        <w:ind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 xml:space="preserve"> </w:t>
      </w:r>
    </w:p>
    <w:p w:rsidR="006938D6" w:rsidRPr="006938D6" w:rsidRDefault="006938D6" w:rsidP="006938D6">
      <w:pPr>
        <w:widowControl w:val="0"/>
        <w:tabs>
          <w:tab w:val="left" w:pos="1256"/>
        </w:tabs>
        <w:autoSpaceDE w:val="0"/>
        <w:autoSpaceDN w:val="0"/>
        <w:spacing w:after="0" w:line="240" w:lineRule="auto"/>
        <w:rPr>
          <w:rFonts w:ascii="Nirmala UI" w:eastAsia="Times New Roman" w:hAnsi="Nirmala UI" w:cs="Nirmala UI"/>
          <w:b/>
          <w:sz w:val="20"/>
          <w:szCs w:val="20"/>
        </w:rPr>
      </w:pPr>
      <w:r w:rsidRPr="006938D6">
        <w:rPr>
          <w:rFonts w:ascii="Nirmala UI" w:eastAsia="Times New Roman" w:hAnsi="Nirmala UI" w:cs="Nirmala UI"/>
          <w:b/>
          <w:sz w:val="20"/>
          <w:szCs w:val="20"/>
        </w:rPr>
        <w:t xml:space="preserve">                        </w:t>
      </w:r>
      <w:r w:rsidRPr="006938D6">
        <w:rPr>
          <w:rFonts w:ascii="Nirmala UI" w:eastAsia="Times New Roman" w:hAnsi="Nirmala UI" w:cs="Nirmala UI"/>
          <w:b/>
          <w:sz w:val="20"/>
          <w:szCs w:val="20"/>
          <w:cs/>
          <w:lang w:bidi="bn-IN"/>
        </w:rPr>
        <w:t>৯</w:t>
      </w:r>
      <w:r w:rsidRPr="006938D6">
        <w:rPr>
          <w:rFonts w:ascii="Nirmala UI" w:eastAsia="Times New Roman" w:hAnsi="Nirmala UI" w:cs="Nirmala UI"/>
          <w:b/>
          <w:sz w:val="20"/>
          <w:szCs w:val="20"/>
        </w:rPr>
        <w:t>.</w:t>
      </w:r>
      <w:r w:rsidRPr="006938D6">
        <w:rPr>
          <w:rFonts w:ascii="Nirmala UI" w:eastAsia="Times New Roman" w:hAnsi="Nirmala UI" w:cs="Nirmala UI"/>
          <w:b/>
          <w:sz w:val="20"/>
          <w:szCs w:val="20"/>
        </w:rPr>
        <w:tab/>
      </w:r>
      <w:r w:rsidRPr="006938D6">
        <w:rPr>
          <w:rFonts w:ascii="Nirmala UI" w:eastAsia="Times New Roman" w:hAnsi="Nirmala UI" w:cs="Nirmala UI"/>
          <w:b/>
          <w:sz w:val="20"/>
          <w:szCs w:val="20"/>
          <w:cs/>
        </w:rPr>
        <w:tab/>
      </w:r>
      <w:r w:rsidRPr="006938D6">
        <w:rPr>
          <w:rFonts w:ascii="Nirmala UI" w:eastAsia="Times New Roman" w:hAnsi="Nirmala UI" w:cs="Nirmala UI"/>
          <w:b/>
          <w:sz w:val="20"/>
          <w:szCs w:val="20"/>
        </w:rPr>
        <w:t>অনুমোদনের অনুরোধ</w:t>
      </w:r>
    </w:p>
    <w:p w:rsidR="006938D6" w:rsidRPr="006938D6" w:rsidRDefault="006938D6" w:rsidP="006938D6">
      <w:pPr>
        <w:widowControl w:val="0"/>
        <w:autoSpaceDE w:val="0"/>
        <w:autoSpaceDN w:val="0"/>
        <w:spacing w:line="240" w:lineRule="auto"/>
        <w:ind w:left="2160" w:right="620"/>
        <w:jc w:val="both"/>
        <w:rPr>
          <w:rFonts w:ascii="Nirmala UI" w:eastAsia="Times New Roman" w:hAnsi="Nirmala UI" w:cs="Nirmala UI"/>
          <w:sz w:val="20"/>
          <w:szCs w:val="20"/>
        </w:rPr>
      </w:pPr>
      <w:r w:rsidRPr="006938D6">
        <w:rPr>
          <w:rFonts w:ascii="Nirmala UI" w:eastAsia="Times New Roman" w:hAnsi="Nirmala UI" w:cs="Nirmala UI"/>
          <w:sz w:val="20"/>
          <w:szCs w:val="20"/>
        </w:rPr>
        <w:t>পর্যালোচনা এবং অনুমোদনের জন্য IAU অবশ্যই PAO-এর নিকট একটি বার্ষিক অভ্যন্তরীণ নিরীক্ষা পরিকল্পনা জমা দিবেন ।</w:t>
      </w:r>
    </w:p>
    <w:p w:rsidR="006938D6" w:rsidRPr="006938D6" w:rsidRDefault="006938D6" w:rsidP="006938D6">
      <w:pPr>
        <w:widowControl w:val="0"/>
        <w:tabs>
          <w:tab w:val="left" w:pos="2160"/>
        </w:tabs>
        <w:autoSpaceDE w:val="0"/>
        <w:autoSpaceDN w:val="0"/>
        <w:spacing w:after="0" w:line="240" w:lineRule="auto"/>
        <w:ind w:left="1170" w:hanging="270"/>
        <w:rPr>
          <w:rFonts w:ascii="Nirmala UI" w:eastAsia="Times New Roman" w:hAnsi="Nirmala UI" w:cs="Nirmala UI"/>
          <w:b/>
          <w:sz w:val="20"/>
          <w:szCs w:val="20"/>
        </w:rPr>
      </w:pPr>
      <w:r w:rsidRPr="006938D6">
        <w:rPr>
          <w:rFonts w:ascii="Nirmala UI" w:eastAsia="Times New Roman" w:hAnsi="Nirmala UI" w:cs="Nirmala UI"/>
          <w:b/>
          <w:sz w:val="20"/>
          <w:szCs w:val="20"/>
        </w:rPr>
        <w:tab/>
        <w:t>১</w:t>
      </w:r>
      <w:r w:rsidRPr="006938D6">
        <w:rPr>
          <w:rFonts w:ascii="Nirmala UI" w:eastAsia="Times New Roman" w:hAnsi="Nirmala UI" w:cs="Nirmala UI"/>
          <w:b/>
          <w:sz w:val="20"/>
          <w:szCs w:val="20"/>
          <w:cs/>
          <w:lang w:bidi="bn-IN"/>
        </w:rPr>
        <w:t>০.</w:t>
      </w:r>
      <w:r w:rsidRPr="006938D6">
        <w:rPr>
          <w:rFonts w:ascii="Nirmala UI" w:eastAsia="Times New Roman" w:hAnsi="Nirmala UI" w:cs="Nirmala UI"/>
          <w:b/>
          <w:sz w:val="20"/>
          <w:szCs w:val="20"/>
        </w:rPr>
        <w:tab/>
        <w:t>বার্ষিক অভ্যন্তরীণ নিরীক্ষা পরিকল্পনা অনুমোদন</w:t>
      </w:r>
    </w:p>
    <w:p w:rsidR="006938D6" w:rsidRPr="006938D6" w:rsidRDefault="006938D6" w:rsidP="006938D6">
      <w:pPr>
        <w:widowControl w:val="0"/>
        <w:tabs>
          <w:tab w:val="left" w:pos="1256"/>
          <w:tab w:val="left" w:pos="1350"/>
          <w:tab w:val="left" w:pos="1980"/>
          <w:tab w:val="left" w:pos="2160"/>
        </w:tabs>
        <w:autoSpaceDE w:val="0"/>
        <w:autoSpaceDN w:val="0"/>
        <w:spacing w:after="0" w:line="240" w:lineRule="auto"/>
        <w:rPr>
          <w:rFonts w:ascii="Nirmala UI" w:eastAsia="Times New Roman" w:hAnsi="Nirmala UI" w:cs="Nirmala UI"/>
          <w:b/>
          <w:sz w:val="20"/>
          <w:szCs w:val="20"/>
        </w:rPr>
      </w:pPr>
      <w:r w:rsidRPr="006938D6">
        <w:rPr>
          <w:rFonts w:ascii="Nirmala UI" w:eastAsia="Times New Roman" w:hAnsi="Nirmala UI" w:cs="Nirmala UI"/>
          <w:sz w:val="20"/>
          <w:szCs w:val="20"/>
        </w:rPr>
        <w:t xml:space="preserve">                                            বাস্তবায়নের জন্য PAO এবং MDA নিরীক্ষা কমিটি বার্ষিক নিরীক্ষা পরিকল্পনা পর্যালোচনা পূর্বক অনুমোদন করবেন । </w:t>
      </w:r>
    </w:p>
    <w:p w:rsidR="006938D6" w:rsidRPr="006938D6" w:rsidRDefault="006938D6" w:rsidP="006938D6">
      <w:pPr>
        <w:widowControl w:val="0"/>
        <w:autoSpaceDE w:val="0"/>
        <w:autoSpaceDN w:val="0"/>
        <w:spacing w:after="0" w:line="240" w:lineRule="auto"/>
        <w:ind w:firstLine="2070"/>
        <w:rPr>
          <w:rFonts w:ascii="Nirmala UI" w:eastAsia="Times New Roman" w:hAnsi="Nirmala UI" w:cs="Nirmala UI"/>
          <w:sz w:val="20"/>
          <w:szCs w:val="20"/>
        </w:rPr>
      </w:pPr>
    </w:p>
    <w:p w:rsidR="00402112" w:rsidRPr="006938D6" w:rsidRDefault="006938D6">
      <w:pPr>
        <w:rPr>
          <w:rFonts w:ascii="Nirmala UI" w:hAnsi="Nirmala UI" w:cs="Nirmala UI"/>
          <w:sz w:val="20"/>
          <w:szCs w:val="20"/>
        </w:rPr>
      </w:pPr>
    </w:p>
    <w:sectPr w:rsidR="00402112" w:rsidRPr="00693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763591"/>
      <w:docPartObj>
        <w:docPartGallery w:val="Page Numbers (Bottom of Page)"/>
        <w:docPartUnique/>
      </w:docPartObj>
    </w:sdtPr>
    <w:sdtEndPr/>
    <w:sdtContent>
      <w:p w:rsidR="008D790F" w:rsidRDefault="006938D6">
        <w:pPr>
          <w:pStyle w:val="Footer"/>
          <w:jc w:val="right"/>
        </w:pPr>
        <w:r>
          <w:t xml:space="preserve">Page | </w:t>
        </w:r>
        <w:r>
          <w:fldChar w:fldCharType="begin"/>
        </w:r>
        <w:r>
          <w:instrText xml:space="preserve"> PAGE   \* MERGEFORMAT </w:instrText>
        </w:r>
        <w:r>
          <w:fldChar w:fldCharType="separate"/>
        </w:r>
        <w:r>
          <w:rPr>
            <w:noProof/>
          </w:rPr>
          <w:t>5</w:t>
        </w:r>
        <w:r>
          <w:rPr>
            <w:noProof/>
          </w:rPr>
          <w:fldChar w:fldCharType="end"/>
        </w:r>
        <w:r>
          <w:t xml:space="preserve"> </w:t>
        </w:r>
      </w:p>
    </w:sdtContent>
  </w:sdt>
  <w:p w:rsidR="008D790F" w:rsidRDefault="006938D6">
    <w:pPr>
      <w:pStyle w:val="BodyText"/>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15"/>
    <w:rsid w:val="004F4B15"/>
    <w:rsid w:val="006938D6"/>
    <w:rsid w:val="00C803CD"/>
    <w:rsid w:val="00D4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C73F"/>
  <w15:chartTrackingRefBased/>
  <w15:docId w15:val="{A447BB77-88E5-4AED-BAFF-8D8FB88D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8D6"/>
  </w:style>
  <w:style w:type="paragraph" w:styleId="Heading2">
    <w:name w:val="heading 2"/>
    <w:basedOn w:val="Normal"/>
    <w:link w:val="Heading2Char"/>
    <w:uiPriority w:val="9"/>
    <w:unhideWhenUsed/>
    <w:qFormat/>
    <w:rsid w:val="006938D6"/>
    <w:pPr>
      <w:widowControl w:val="0"/>
      <w:autoSpaceDE w:val="0"/>
      <w:autoSpaceDN w:val="0"/>
      <w:spacing w:after="0" w:line="240" w:lineRule="auto"/>
      <w:ind w:left="636" w:hanging="421"/>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38D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938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38D6"/>
    <w:rPr>
      <w:rFonts w:ascii="Times New Roman" w:eastAsia="Times New Roman" w:hAnsi="Times New Roman" w:cs="Times New Roman"/>
      <w:sz w:val="24"/>
      <w:szCs w:val="24"/>
    </w:rPr>
  </w:style>
  <w:style w:type="paragraph" w:styleId="ListParagraph">
    <w:name w:val="List Paragraph"/>
    <w:basedOn w:val="Normal"/>
    <w:uiPriority w:val="34"/>
    <w:qFormat/>
    <w:rsid w:val="006938D6"/>
    <w:pPr>
      <w:widowControl w:val="0"/>
      <w:autoSpaceDE w:val="0"/>
      <w:autoSpaceDN w:val="0"/>
      <w:spacing w:after="0" w:line="240" w:lineRule="auto"/>
      <w:ind w:left="1296" w:hanging="361"/>
    </w:pPr>
    <w:rPr>
      <w:rFonts w:ascii="Times New Roman" w:eastAsia="Times New Roman" w:hAnsi="Times New Roman" w:cs="Times New Roman"/>
    </w:rPr>
  </w:style>
  <w:style w:type="paragraph" w:styleId="Footer">
    <w:name w:val="footer"/>
    <w:basedOn w:val="Normal"/>
    <w:link w:val="FooterChar"/>
    <w:uiPriority w:val="99"/>
    <w:unhideWhenUsed/>
    <w:rsid w:val="006938D6"/>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938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8755</Characters>
  <Application>Microsoft Office Word</Application>
  <DocSecurity>0</DocSecurity>
  <Lines>72</Lines>
  <Paragraphs>20</Paragraphs>
  <ScaleCrop>false</ScaleCrop>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Ahamed Anik</dc:creator>
  <cp:keywords/>
  <dc:description/>
  <cp:lastModifiedBy>Hussain Ahamed Anik</cp:lastModifiedBy>
  <cp:revision>2</cp:revision>
  <dcterms:created xsi:type="dcterms:W3CDTF">2025-08-06T04:37:00Z</dcterms:created>
  <dcterms:modified xsi:type="dcterms:W3CDTF">2025-08-06T04:37:00Z</dcterms:modified>
</cp:coreProperties>
</file>